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94" w:rsidRDefault="00253C94" w:rsidP="00253C94">
      <w:pPr>
        <w:jc w:val="center"/>
        <w:outlineLvl w:val="0"/>
        <w:rPr>
          <w:rFonts w:ascii="Times New Roman" w:hAnsi="Times New Roman"/>
          <w:b/>
          <w:caps/>
          <w:sz w:val="28"/>
          <w:szCs w:val="28"/>
        </w:rPr>
      </w:pPr>
      <w:bookmarkStart w:id="0" w:name="_GoBack"/>
      <w:bookmarkEnd w:id="0"/>
      <w:r>
        <w:rPr>
          <w:rFonts w:ascii="Times New Roman" w:hAnsi="Times New Roman"/>
          <w:b/>
          <w:caps/>
          <w:sz w:val="28"/>
          <w:szCs w:val="28"/>
        </w:rPr>
        <w:t>Carolina Health Centers, Inc.</w:t>
      </w:r>
    </w:p>
    <w:p w:rsidR="00253C94" w:rsidRDefault="00253C94" w:rsidP="00253C94">
      <w:pPr>
        <w:jc w:val="center"/>
        <w:outlineLvl w:val="0"/>
        <w:rPr>
          <w:rFonts w:ascii="Times New Roman" w:hAnsi="Times New Roman"/>
          <w:b/>
          <w:caps/>
          <w:sz w:val="28"/>
          <w:szCs w:val="28"/>
        </w:rPr>
      </w:pPr>
      <w:r>
        <w:rPr>
          <w:rFonts w:ascii="Times New Roman" w:hAnsi="Times New Roman"/>
          <w:b/>
          <w:caps/>
          <w:sz w:val="28"/>
          <w:szCs w:val="28"/>
        </w:rPr>
        <w:t xml:space="preserve">Board of Directors Meeting Minutes </w:t>
      </w:r>
    </w:p>
    <w:p w:rsidR="00253C94" w:rsidRDefault="00253C94" w:rsidP="00253C94">
      <w:pPr>
        <w:jc w:val="center"/>
        <w:outlineLvl w:val="0"/>
        <w:rPr>
          <w:rFonts w:ascii="Times New Roman" w:hAnsi="Times New Roman"/>
          <w:b/>
          <w:caps/>
          <w:sz w:val="28"/>
          <w:szCs w:val="28"/>
        </w:rPr>
      </w:pPr>
      <w:r>
        <w:rPr>
          <w:rFonts w:ascii="Times New Roman" w:hAnsi="Times New Roman"/>
          <w:b/>
          <w:caps/>
          <w:sz w:val="28"/>
          <w:szCs w:val="28"/>
        </w:rPr>
        <w:t>Monday,</w:t>
      </w:r>
      <w:r>
        <w:rPr>
          <w:rFonts w:ascii="Times New Roman" w:hAnsi="Times New Roman"/>
          <w:b/>
          <w:caps/>
          <w:sz w:val="28"/>
          <w:szCs w:val="28"/>
        </w:rPr>
        <w:tab/>
        <w:t>OCTOBER 24,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8"/>
        <w:gridCol w:w="1080"/>
        <w:gridCol w:w="990"/>
        <w:gridCol w:w="2340"/>
        <w:gridCol w:w="990"/>
        <w:gridCol w:w="990"/>
      </w:tblGrid>
      <w:tr w:rsidR="00253C94" w:rsidTr="00253C94">
        <w:tc>
          <w:tcPr>
            <w:tcW w:w="4968" w:type="dxa"/>
            <w:gridSpan w:val="3"/>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jc w:val="center"/>
              <w:rPr>
                <w:rFonts w:ascii="Times New Roman" w:hAnsi="Times New Roman"/>
              </w:rPr>
            </w:pPr>
            <w:r>
              <w:rPr>
                <w:rFonts w:ascii="Times New Roman" w:hAnsi="Times New Roman"/>
              </w:rPr>
              <w:t>Board of Directors Members</w:t>
            </w:r>
          </w:p>
        </w:tc>
        <w:tc>
          <w:tcPr>
            <w:tcW w:w="4320" w:type="dxa"/>
            <w:gridSpan w:val="3"/>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jc w:val="center"/>
              <w:rPr>
                <w:rFonts w:ascii="Times New Roman" w:hAnsi="Times New Roman"/>
              </w:rPr>
            </w:pPr>
            <w:r>
              <w:rPr>
                <w:rFonts w:ascii="Times New Roman" w:hAnsi="Times New Roman"/>
              </w:rPr>
              <w:t>Staff</w:t>
            </w:r>
          </w:p>
        </w:tc>
      </w:tr>
      <w:tr w:rsidR="00253C94" w:rsidTr="00253C94">
        <w:tc>
          <w:tcPr>
            <w:tcW w:w="2898"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Name:</w:t>
            </w:r>
          </w:p>
        </w:tc>
        <w:tc>
          <w:tcPr>
            <w:tcW w:w="1080"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Present</w:t>
            </w:r>
          </w:p>
        </w:tc>
        <w:tc>
          <w:tcPr>
            <w:tcW w:w="990"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Absent</w:t>
            </w:r>
          </w:p>
        </w:tc>
        <w:tc>
          <w:tcPr>
            <w:tcW w:w="2340"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Name:</w:t>
            </w:r>
          </w:p>
        </w:tc>
        <w:tc>
          <w:tcPr>
            <w:tcW w:w="990"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Present</w:t>
            </w:r>
          </w:p>
        </w:tc>
        <w:tc>
          <w:tcPr>
            <w:tcW w:w="990"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Absent</w:t>
            </w:r>
          </w:p>
        </w:tc>
      </w:tr>
      <w:tr w:rsidR="00253C94" w:rsidTr="00253C94">
        <w:tc>
          <w:tcPr>
            <w:tcW w:w="2898"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Nathan Andrews</w:t>
            </w:r>
          </w:p>
        </w:tc>
        <w:tc>
          <w:tcPr>
            <w:tcW w:w="108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eastAsia="Times New Roman" w:hAnsi="Times New Roman"/>
                <w:lang w:bidi="ar-SA"/>
              </w:rPr>
            </w:pPr>
          </w:p>
        </w:tc>
        <w:tc>
          <w:tcPr>
            <w:tcW w:w="2340"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Louie Brown</w:t>
            </w:r>
          </w:p>
        </w:tc>
        <w:tc>
          <w:tcPr>
            <w:tcW w:w="990" w:type="dxa"/>
            <w:tcBorders>
              <w:top w:val="single" w:sz="4" w:space="0" w:color="auto"/>
              <w:left w:val="single" w:sz="4" w:space="0" w:color="auto"/>
              <w:bottom w:val="single" w:sz="4" w:space="0" w:color="auto"/>
              <w:right w:val="single" w:sz="4" w:space="0" w:color="auto"/>
            </w:tcBorders>
          </w:tcPr>
          <w:p w:rsidR="00253C94" w:rsidRDefault="004C6473">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r>
      <w:tr w:rsidR="00253C94" w:rsidTr="00253C94">
        <w:trPr>
          <w:trHeight w:val="350"/>
        </w:trPr>
        <w:tc>
          <w:tcPr>
            <w:tcW w:w="2898"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John Britt, Chairperson</w:t>
            </w:r>
          </w:p>
        </w:tc>
        <w:tc>
          <w:tcPr>
            <w:tcW w:w="108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Rachel Davis</w:t>
            </w:r>
          </w:p>
        </w:tc>
        <w:tc>
          <w:tcPr>
            <w:tcW w:w="99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r>
      <w:tr w:rsidR="00253C94" w:rsidTr="00253C94">
        <w:tc>
          <w:tcPr>
            <w:tcW w:w="2898"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Greg Bullard</w:t>
            </w:r>
          </w:p>
        </w:tc>
        <w:tc>
          <w:tcPr>
            <w:tcW w:w="108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lang w:bidi="ar-SA"/>
              </w:rPr>
            </w:pPr>
          </w:p>
        </w:tc>
        <w:tc>
          <w:tcPr>
            <w:tcW w:w="2340" w:type="dxa"/>
            <w:tcBorders>
              <w:top w:val="single" w:sz="4" w:space="0" w:color="auto"/>
              <w:left w:val="single" w:sz="4" w:space="0" w:color="auto"/>
              <w:bottom w:val="single" w:sz="4" w:space="0" w:color="auto"/>
              <w:right w:val="single" w:sz="4" w:space="0" w:color="auto"/>
            </w:tcBorders>
            <w:hideMark/>
          </w:tcPr>
          <w:p w:rsidR="00253C94" w:rsidRDefault="004C6473">
            <w:pPr>
              <w:spacing w:line="276" w:lineRule="auto"/>
              <w:rPr>
                <w:rFonts w:ascii="Times New Roman" w:hAnsi="Times New Roman"/>
              </w:rPr>
            </w:pPr>
            <w:r>
              <w:rPr>
                <w:rFonts w:ascii="Times New Roman" w:hAnsi="Times New Roman"/>
              </w:rPr>
              <w:t>Georgia Deal</w:t>
            </w:r>
            <w:r w:rsidR="00760A0B">
              <w:rPr>
                <w:rFonts w:ascii="Times New Roman" w:hAnsi="Times New Roman"/>
              </w:rPr>
              <w:t xml:space="preserve"> (Guest)</w:t>
            </w:r>
          </w:p>
        </w:tc>
        <w:tc>
          <w:tcPr>
            <w:tcW w:w="99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r>
      <w:tr w:rsidR="00253C94" w:rsidTr="00253C94">
        <w:tc>
          <w:tcPr>
            <w:tcW w:w="2898"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Hugh Clark</w:t>
            </w:r>
          </w:p>
        </w:tc>
        <w:tc>
          <w:tcPr>
            <w:tcW w:w="108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eastAsia="Times New Roman" w:hAnsi="Times New Roman"/>
                <w:lang w:bidi="ar-SA"/>
              </w:rPr>
            </w:pPr>
          </w:p>
        </w:tc>
        <w:tc>
          <w:tcPr>
            <w:tcW w:w="990" w:type="dxa"/>
            <w:tcBorders>
              <w:top w:val="single" w:sz="4" w:space="0" w:color="auto"/>
              <w:left w:val="single" w:sz="4" w:space="0" w:color="auto"/>
              <w:bottom w:val="single" w:sz="4" w:space="0" w:color="auto"/>
              <w:right w:val="single" w:sz="4" w:space="0" w:color="auto"/>
            </w:tcBorders>
          </w:tcPr>
          <w:p w:rsidR="00253C94" w:rsidRDefault="004C6473">
            <w:pPr>
              <w:spacing w:line="276" w:lineRule="auto"/>
              <w:jc w:val="center"/>
              <w:rPr>
                <w:rFonts w:ascii="Times New Roman" w:hAnsi="Times New Roman"/>
                <w:lang w:bidi="ar-SA"/>
              </w:rPr>
            </w:pPr>
            <w:r>
              <w:rPr>
                <w:rFonts w:ascii="Times New Roman" w:hAnsi="Times New Roman"/>
                <w:lang w:bidi="ar-SA"/>
              </w:rPr>
              <w:t>X</w:t>
            </w:r>
          </w:p>
        </w:tc>
        <w:tc>
          <w:tcPr>
            <w:tcW w:w="2340" w:type="dxa"/>
            <w:tcBorders>
              <w:top w:val="single" w:sz="4" w:space="0" w:color="auto"/>
              <w:left w:val="single" w:sz="4" w:space="0" w:color="auto"/>
              <w:bottom w:val="single" w:sz="4" w:space="0" w:color="auto"/>
              <w:right w:val="single" w:sz="4" w:space="0" w:color="auto"/>
            </w:tcBorders>
            <w:hideMark/>
          </w:tcPr>
          <w:p w:rsidR="00253C94" w:rsidRDefault="004C6473">
            <w:pPr>
              <w:spacing w:line="276" w:lineRule="auto"/>
              <w:rPr>
                <w:rFonts w:ascii="Times New Roman" w:hAnsi="Times New Roman"/>
              </w:rPr>
            </w:pPr>
            <w:r>
              <w:rPr>
                <w:rFonts w:ascii="Times New Roman" w:hAnsi="Times New Roman"/>
              </w:rPr>
              <w:t>Miriam Ferguson</w:t>
            </w:r>
          </w:p>
        </w:tc>
        <w:tc>
          <w:tcPr>
            <w:tcW w:w="99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r>
      <w:tr w:rsidR="00253C94" w:rsidTr="004C6473">
        <w:tc>
          <w:tcPr>
            <w:tcW w:w="2898"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Gail Ferguson</w:t>
            </w:r>
          </w:p>
        </w:tc>
        <w:tc>
          <w:tcPr>
            <w:tcW w:w="108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lang w:bidi="ar-SA"/>
              </w:rPr>
            </w:pPr>
          </w:p>
        </w:tc>
        <w:tc>
          <w:tcPr>
            <w:tcW w:w="2340" w:type="dxa"/>
            <w:tcBorders>
              <w:top w:val="single" w:sz="4" w:space="0" w:color="auto"/>
              <w:left w:val="single" w:sz="4" w:space="0" w:color="auto"/>
              <w:bottom w:val="single" w:sz="4" w:space="0" w:color="auto"/>
              <w:right w:val="single" w:sz="4" w:space="0" w:color="auto"/>
            </w:tcBorders>
          </w:tcPr>
          <w:p w:rsidR="00253C94" w:rsidRDefault="004C6473">
            <w:pPr>
              <w:spacing w:line="276" w:lineRule="auto"/>
              <w:rPr>
                <w:rFonts w:ascii="Times New Roman" w:hAnsi="Times New Roman"/>
              </w:rPr>
            </w:pPr>
            <w:r>
              <w:rPr>
                <w:rFonts w:ascii="Times New Roman" w:hAnsi="Times New Roman"/>
              </w:rPr>
              <w:t>Paul Grogan</w:t>
            </w:r>
          </w:p>
        </w:tc>
        <w:tc>
          <w:tcPr>
            <w:tcW w:w="99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r>
      <w:tr w:rsidR="00253C94" w:rsidTr="00253C94">
        <w:tc>
          <w:tcPr>
            <w:tcW w:w="2898"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Geneva Harris</w:t>
            </w:r>
          </w:p>
        </w:tc>
        <w:tc>
          <w:tcPr>
            <w:tcW w:w="1080" w:type="dxa"/>
            <w:tcBorders>
              <w:top w:val="single" w:sz="4" w:space="0" w:color="auto"/>
              <w:left w:val="single" w:sz="4" w:space="0" w:color="auto"/>
              <w:bottom w:val="single" w:sz="4" w:space="0" w:color="auto"/>
              <w:right w:val="single" w:sz="4" w:space="0" w:color="auto"/>
            </w:tcBorders>
          </w:tcPr>
          <w:p w:rsidR="00253C94" w:rsidRDefault="004C6473">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253C94" w:rsidRDefault="004C6473">
            <w:pPr>
              <w:spacing w:line="276" w:lineRule="auto"/>
              <w:rPr>
                <w:rFonts w:ascii="Times New Roman" w:hAnsi="Times New Roman"/>
              </w:rPr>
            </w:pPr>
            <w:r>
              <w:rPr>
                <w:rFonts w:ascii="Times New Roman" w:hAnsi="Times New Roman"/>
              </w:rPr>
              <w:t>Brooke Holloway</w:t>
            </w:r>
          </w:p>
        </w:tc>
        <w:tc>
          <w:tcPr>
            <w:tcW w:w="99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r>
      <w:tr w:rsidR="00253C94" w:rsidTr="004C6473">
        <w:trPr>
          <w:trHeight w:val="323"/>
        </w:trPr>
        <w:tc>
          <w:tcPr>
            <w:tcW w:w="2898"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Mario Luna</w:t>
            </w:r>
          </w:p>
        </w:tc>
        <w:tc>
          <w:tcPr>
            <w:tcW w:w="1080" w:type="dxa"/>
            <w:tcBorders>
              <w:top w:val="single" w:sz="4" w:space="0" w:color="auto"/>
              <w:left w:val="single" w:sz="4" w:space="0" w:color="auto"/>
              <w:bottom w:val="single" w:sz="4" w:space="0" w:color="auto"/>
              <w:right w:val="single" w:sz="4" w:space="0" w:color="auto"/>
            </w:tcBorders>
          </w:tcPr>
          <w:p w:rsidR="00253C94" w:rsidRDefault="004C6473">
            <w:pPr>
              <w:spacing w:line="276" w:lineRule="auto"/>
              <w:jc w:val="center"/>
              <w:rPr>
                <w:rFonts w:ascii="Times New Roman" w:eastAsia="Times New Roman" w:hAnsi="Times New Roman"/>
                <w:lang w:bidi="ar-SA"/>
              </w:rPr>
            </w:pPr>
            <w:r>
              <w:rPr>
                <w:rFonts w:ascii="Times New Roman" w:eastAsia="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lang w:bidi="ar-SA"/>
              </w:rPr>
            </w:pPr>
          </w:p>
        </w:tc>
        <w:tc>
          <w:tcPr>
            <w:tcW w:w="2340" w:type="dxa"/>
            <w:tcBorders>
              <w:top w:val="single" w:sz="4" w:space="0" w:color="auto"/>
              <w:left w:val="single" w:sz="4" w:space="0" w:color="auto"/>
              <w:bottom w:val="single" w:sz="4" w:space="0" w:color="auto"/>
              <w:right w:val="single" w:sz="4" w:space="0" w:color="auto"/>
            </w:tcBorders>
          </w:tcPr>
          <w:p w:rsidR="00253C94" w:rsidRDefault="004C6473">
            <w:pPr>
              <w:spacing w:line="276" w:lineRule="auto"/>
              <w:rPr>
                <w:rFonts w:ascii="Times New Roman" w:eastAsia="Times New Roman" w:hAnsi="Times New Roman"/>
                <w:lang w:bidi="ar-SA"/>
              </w:rPr>
            </w:pPr>
            <w:r>
              <w:rPr>
                <w:rFonts w:ascii="Times New Roman" w:eastAsia="Times New Roman" w:hAnsi="Times New Roman"/>
                <w:lang w:bidi="ar-SA"/>
              </w:rPr>
              <w:t>LuAnn Holmes</w:t>
            </w:r>
          </w:p>
        </w:tc>
        <w:tc>
          <w:tcPr>
            <w:tcW w:w="99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eastAsia="Times New Roman" w:hAnsi="Times New Roman"/>
                <w:lang w:bidi="ar-SA"/>
              </w:rPr>
            </w:pPr>
            <w:r>
              <w:rPr>
                <w:rFonts w:ascii="Times New Roman" w:eastAsia="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r>
      <w:tr w:rsidR="00253C94" w:rsidTr="00253C94">
        <w:tc>
          <w:tcPr>
            <w:tcW w:w="2898"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Deb Natvig</w:t>
            </w:r>
          </w:p>
        </w:tc>
        <w:tc>
          <w:tcPr>
            <w:tcW w:w="108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253C94" w:rsidRDefault="004C6473">
            <w:pPr>
              <w:spacing w:line="276" w:lineRule="auto"/>
              <w:rPr>
                <w:rFonts w:ascii="Times New Roman" w:hAnsi="Times New Roman"/>
              </w:rPr>
            </w:pPr>
            <w:r>
              <w:rPr>
                <w:rFonts w:ascii="Times New Roman" w:hAnsi="Times New Roman"/>
              </w:rPr>
              <w:t>Dominic Mellette</w:t>
            </w:r>
          </w:p>
        </w:tc>
        <w:tc>
          <w:tcPr>
            <w:tcW w:w="99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lang w:bidi="ar-SA"/>
              </w:rPr>
            </w:pPr>
          </w:p>
        </w:tc>
      </w:tr>
      <w:tr w:rsidR="00253C94" w:rsidTr="00253C94">
        <w:tc>
          <w:tcPr>
            <w:tcW w:w="2898"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Malcolm J. O’Neal</w:t>
            </w:r>
          </w:p>
        </w:tc>
        <w:tc>
          <w:tcPr>
            <w:tcW w:w="108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253C94" w:rsidRDefault="004C6473">
            <w:pPr>
              <w:spacing w:line="276" w:lineRule="auto"/>
              <w:rPr>
                <w:rFonts w:ascii="Times New Roman" w:eastAsiaTheme="minorHAnsi" w:hAnsi="Times New Roman"/>
                <w:lang w:bidi="ar-SA"/>
              </w:rPr>
            </w:pPr>
            <w:r>
              <w:rPr>
                <w:rFonts w:ascii="Times New Roman" w:eastAsiaTheme="minorHAnsi" w:hAnsi="Times New Roman"/>
                <w:lang w:bidi="ar-SA"/>
              </w:rPr>
              <w:t>Locke Simons</w:t>
            </w:r>
          </w:p>
        </w:tc>
        <w:tc>
          <w:tcPr>
            <w:tcW w:w="99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r>
      <w:tr w:rsidR="00253C94" w:rsidTr="00253C94">
        <w:tc>
          <w:tcPr>
            <w:tcW w:w="2898"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Walter Ridgely</w:t>
            </w:r>
          </w:p>
        </w:tc>
        <w:tc>
          <w:tcPr>
            <w:tcW w:w="1080" w:type="dxa"/>
            <w:tcBorders>
              <w:top w:val="single" w:sz="4" w:space="0" w:color="auto"/>
              <w:left w:val="single" w:sz="4" w:space="0" w:color="auto"/>
              <w:bottom w:val="single" w:sz="4" w:space="0" w:color="auto"/>
              <w:right w:val="single" w:sz="4" w:space="0" w:color="auto"/>
            </w:tcBorders>
          </w:tcPr>
          <w:p w:rsidR="00253C94" w:rsidRDefault="00216DCC">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lang w:bidi="ar-SA"/>
              </w:rPr>
            </w:pPr>
          </w:p>
        </w:tc>
        <w:tc>
          <w:tcPr>
            <w:tcW w:w="2340" w:type="dxa"/>
            <w:tcBorders>
              <w:top w:val="single" w:sz="4" w:space="0" w:color="auto"/>
              <w:left w:val="single" w:sz="4" w:space="0" w:color="auto"/>
              <w:bottom w:val="single" w:sz="4" w:space="0" w:color="auto"/>
              <w:right w:val="single" w:sz="4" w:space="0" w:color="auto"/>
            </w:tcBorders>
            <w:hideMark/>
          </w:tcPr>
          <w:p w:rsidR="00253C94" w:rsidRPr="004C6473" w:rsidRDefault="004C6473">
            <w:pPr>
              <w:spacing w:line="276" w:lineRule="auto"/>
              <w:rPr>
                <w:rFonts w:ascii="Times New Roman" w:eastAsiaTheme="minorHAnsi" w:hAnsi="Times New Roman"/>
                <w:lang w:bidi="ar-SA"/>
              </w:rPr>
            </w:pPr>
            <w:r>
              <w:rPr>
                <w:rFonts w:ascii="Times New Roman" w:eastAsiaTheme="minorHAnsi" w:hAnsi="Times New Roman"/>
                <w:lang w:bidi="ar-SA"/>
              </w:rPr>
              <w:t>Sue Veer</w:t>
            </w:r>
          </w:p>
        </w:tc>
        <w:tc>
          <w:tcPr>
            <w:tcW w:w="990" w:type="dxa"/>
            <w:tcBorders>
              <w:top w:val="single" w:sz="4" w:space="0" w:color="auto"/>
              <w:left w:val="single" w:sz="4" w:space="0" w:color="auto"/>
              <w:bottom w:val="single" w:sz="4" w:space="0" w:color="auto"/>
              <w:right w:val="single" w:sz="4" w:space="0" w:color="auto"/>
            </w:tcBorders>
          </w:tcPr>
          <w:p w:rsidR="00253C94" w:rsidRDefault="004C6473">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r>
      <w:tr w:rsidR="00253C94" w:rsidTr="00253C94">
        <w:tc>
          <w:tcPr>
            <w:tcW w:w="2898" w:type="dxa"/>
            <w:tcBorders>
              <w:top w:val="single" w:sz="4" w:space="0" w:color="auto"/>
              <w:left w:val="single" w:sz="4" w:space="0" w:color="auto"/>
              <w:bottom w:val="single" w:sz="4" w:space="0" w:color="auto"/>
              <w:right w:val="single" w:sz="4" w:space="0" w:color="auto"/>
            </w:tcBorders>
            <w:hideMark/>
          </w:tcPr>
          <w:p w:rsidR="00253C94" w:rsidRDefault="00253C94">
            <w:pPr>
              <w:spacing w:line="276" w:lineRule="auto"/>
              <w:rPr>
                <w:rFonts w:ascii="Times New Roman" w:hAnsi="Times New Roman"/>
              </w:rPr>
            </w:pPr>
            <w:r>
              <w:rPr>
                <w:rFonts w:ascii="Times New Roman" w:hAnsi="Times New Roman"/>
              </w:rPr>
              <w:t>Mary Stackhouse</w:t>
            </w:r>
          </w:p>
        </w:tc>
        <w:tc>
          <w:tcPr>
            <w:tcW w:w="1080" w:type="dxa"/>
            <w:tcBorders>
              <w:top w:val="single" w:sz="4" w:space="0" w:color="auto"/>
              <w:left w:val="single" w:sz="4" w:space="0" w:color="auto"/>
              <w:bottom w:val="single" w:sz="4" w:space="0" w:color="auto"/>
              <w:right w:val="single" w:sz="4" w:space="0" w:color="auto"/>
            </w:tcBorders>
          </w:tcPr>
          <w:p w:rsidR="00253C94" w:rsidRPr="00265C24" w:rsidRDefault="00253C94">
            <w:pPr>
              <w:spacing w:line="276" w:lineRule="auto"/>
              <w:jc w:val="center"/>
              <w:rPr>
                <w:rFonts w:ascii="Times New Roman" w:eastAsia="Times New Roman" w:hAnsi="Times New Roman"/>
                <w:lang w:bidi="ar-SA"/>
              </w:rPr>
            </w:pPr>
          </w:p>
        </w:tc>
        <w:tc>
          <w:tcPr>
            <w:tcW w:w="990" w:type="dxa"/>
            <w:tcBorders>
              <w:top w:val="single" w:sz="4" w:space="0" w:color="auto"/>
              <w:left w:val="single" w:sz="4" w:space="0" w:color="auto"/>
              <w:bottom w:val="single" w:sz="4" w:space="0" w:color="auto"/>
              <w:right w:val="single" w:sz="4" w:space="0" w:color="auto"/>
            </w:tcBorders>
          </w:tcPr>
          <w:p w:rsidR="00253C94" w:rsidRPr="00265C24" w:rsidRDefault="00265C24">
            <w:pPr>
              <w:spacing w:line="276" w:lineRule="auto"/>
              <w:jc w:val="center"/>
              <w:rPr>
                <w:rFonts w:ascii="Times New Roman" w:hAnsi="Times New Roman"/>
                <w:lang w:bidi="ar-SA"/>
              </w:rPr>
            </w:pPr>
            <w:r>
              <w:rPr>
                <w:rFonts w:ascii="Times New Roman" w:hAnsi="Times New Roman"/>
                <w:lang w:bidi="ar-SA"/>
              </w:rPr>
              <w:t>X</w:t>
            </w:r>
          </w:p>
        </w:tc>
        <w:tc>
          <w:tcPr>
            <w:tcW w:w="234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253C94" w:rsidRDefault="00253C94">
            <w:pPr>
              <w:spacing w:line="276" w:lineRule="auto"/>
              <w:jc w:val="center"/>
              <w:rPr>
                <w:rFonts w:ascii="Times New Roman" w:hAnsi="Times New Roman"/>
              </w:rPr>
            </w:pPr>
          </w:p>
        </w:tc>
      </w:tr>
    </w:tbl>
    <w:p w:rsidR="00253C94" w:rsidRDefault="00253C94" w:rsidP="00253C94">
      <w:pPr>
        <w:rPr>
          <w:rFonts w:ascii="Times New Roman" w:hAnsi="Times New Roman"/>
        </w:rPr>
      </w:pPr>
    </w:p>
    <w:p w:rsidR="00253C94" w:rsidRDefault="00253C94" w:rsidP="00253C94">
      <w:pPr>
        <w:widowControl w:val="0"/>
        <w:autoSpaceDE w:val="0"/>
        <w:autoSpaceDN w:val="0"/>
        <w:adjustRightInd w:val="0"/>
        <w:rPr>
          <w:rFonts w:ascii="Times New Roman" w:eastAsia="Times New Roman" w:hAnsi="Times New Roman"/>
          <w:szCs w:val="32"/>
        </w:rPr>
      </w:pPr>
      <w:r>
        <w:rPr>
          <w:rFonts w:ascii="Times New Roman" w:eastAsia="Times New Roman" w:hAnsi="Times New Roman"/>
          <w:szCs w:val="32"/>
        </w:rPr>
        <w:t>The meeting was called to order at</w:t>
      </w:r>
      <w:r w:rsidR="004C6473">
        <w:rPr>
          <w:rFonts w:ascii="Times New Roman" w:eastAsia="Times New Roman" w:hAnsi="Times New Roman"/>
          <w:szCs w:val="32"/>
        </w:rPr>
        <w:t xml:space="preserve"> </w:t>
      </w:r>
      <w:r w:rsidR="00216DCC">
        <w:rPr>
          <w:rFonts w:ascii="Times New Roman" w:eastAsia="Times New Roman" w:hAnsi="Times New Roman"/>
          <w:szCs w:val="32"/>
        </w:rPr>
        <w:t>6:</w:t>
      </w:r>
      <w:r w:rsidR="004C6473">
        <w:rPr>
          <w:rFonts w:ascii="Times New Roman" w:eastAsia="Times New Roman" w:hAnsi="Times New Roman"/>
          <w:szCs w:val="32"/>
        </w:rPr>
        <w:t>15</w:t>
      </w:r>
      <w:r w:rsidR="00265C24">
        <w:rPr>
          <w:rFonts w:ascii="Times New Roman" w:eastAsia="Times New Roman" w:hAnsi="Times New Roman"/>
          <w:szCs w:val="32"/>
        </w:rPr>
        <w:t xml:space="preserve"> </w:t>
      </w:r>
      <w:r>
        <w:rPr>
          <w:rFonts w:ascii="Times New Roman" w:eastAsia="Times New Roman" w:hAnsi="Times New Roman"/>
          <w:szCs w:val="32"/>
        </w:rPr>
        <w:t>pm by Board Chair John Britt.</w:t>
      </w:r>
    </w:p>
    <w:p w:rsidR="00253C94" w:rsidRDefault="00253C94" w:rsidP="00253C94">
      <w:pPr>
        <w:widowControl w:val="0"/>
        <w:autoSpaceDE w:val="0"/>
        <w:autoSpaceDN w:val="0"/>
        <w:adjustRightInd w:val="0"/>
        <w:rPr>
          <w:rFonts w:ascii="Times New Roman" w:eastAsia="Times New Roman" w:hAnsi="Times New Roman"/>
          <w:szCs w:val="32"/>
        </w:rPr>
      </w:pPr>
    </w:p>
    <w:p w:rsidR="00253C94" w:rsidRDefault="00253C94" w:rsidP="00253C94">
      <w:pPr>
        <w:rPr>
          <w:rFonts w:ascii="Times New Roman" w:hAnsi="Times New Roman"/>
          <w:b/>
          <w:u w:val="single"/>
        </w:rPr>
      </w:pPr>
      <w:r>
        <w:rPr>
          <w:rFonts w:ascii="Times New Roman" w:hAnsi="Times New Roman"/>
          <w:b/>
          <w:u w:val="single"/>
        </w:rPr>
        <w:t>Approval of Previous Minutes</w:t>
      </w:r>
    </w:p>
    <w:p w:rsidR="000D496F" w:rsidRDefault="00253C94" w:rsidP="00253C94">
      <w:pPr>
        <w:rPr>
          <w:rFonts w:ascii="Times New Roman" w:hAnsi="Times New Roman"/>
        </w:rPr>
      </w:pPr>
      <w:r>
        <w:rPr>
          <w:rFonts w:ascii="Times New Roman" w:hAnsi="Times New Roman"/>
        </w:rPr>
        <w:t>The September 26, 2016 Board Minutes were approved on a motion by</w:t>
      </w:r>
      <w:r w:rsidR="004C6473">
        <w:rPr>
          <w:rFonts w:ascii="Times New Roman" w:hAnsi="Times New Roman"/>
        </w:rPr>
        <w:t xml:space="preserve"> Ridgely/Natvig.</w:t>
      </w:r>
    </w:p>
    <w:p w:rsidR="004C6473" w:rsidRDefault="004C6473" w:rsidP="00253C94">
      <w:pPr>
        <w:rPr>
          <w:rFonts w:ascii="Times New Roman" w:hAnsi="Times New Roman"/>
        </w:rPr>
      </w:pPr>
    </w:p>
    <w:p w:rsidR="004C6473" w:rsidRDefault="004C6473" w:rsidP="00253C94">
      <w:pPr>
        <w:rPr>
          <w:rFonts w:ascii="Times New Roman" w:hAnsi="Times New Roman"/>
          <w:b/>
          <w:u w:val="single"/>
        </w:rPr>
      </w:pPr>
      <w:r w:rsidRPr="004C6473">
        <w:rPr>
          <w:rFonts w:ascii="Times New Roman" w:hAnsi="Times New Roman"/>
          <w:b/>
          <w:u w:val="single"/>
        </w:rPr>
        <w:t>2016-17 Committee Structure Charge</w:t>
      </w:r>
    </w:p>
    <w:p w:rsidR="00760A0B" w:rsidRDefault="004C6473" w:rsidP="00253C94">
      <w:pPr>
        <w:rPr>
          <w:rFonts w:ascii="Times New Roman" w:hAnsi="Times New Roman"/>
        </w:rPr>
      </w:pPr>
      <w:r>
        <w:rPr>
          <w:rFonts w:ascii="Times New Roman" w:hAnsi="Times New Roman"/>
        </w:rPr>
        <w:t xml:space="preserve">Board members were given a handout </w:t>
      </w:r>
      <w:r w:rsidRPr="004C6473">
        <w:rPr>
          <w:rFonts w:ascii="Times New Roman" w:hAnsi="Times New Roman"/>
          <w:i/>
        </w:rPr>
        <w:t>2016-17 Committees of the Carolina Health Centers Board of Directors</w:t>
      </w:r>
      <w:r>
        <w:rPr>
          <w:rFonts w:ascii="Times New Roman" w:hAnsi="Times New Roman"/>
        </w:rPr>
        <w:t xml:space="preserve"> </w:t>
      </w:r>
      <w:r w:rsidR="00760A0B">
        <w:rPr>
          <w:rFonts w:ascii="Times New Roman" w:hAnsi="Times New Roman"/>
        </w:rPr>
        <w:t>outlining</w:t>
      </w:r>
      <w:r>
        <w:rPr>
          <w:rFonts w:ascii="Times New Roman" w:hAnsi="Times New Roman"/>
        </w:rPr>
        <w:t xml:space="preserve"> Board Committee rules </w:t>
      </w:r>
      <w:r w:rsidR="00760A0B">
        <w:rPr>
          <w:rFonts w:ascii="Times New Roman" w:hAnsi="Times New Roman"/>
        </w:rPr>
        <w:t xml:space="preserve">and responsibilities, which </w:t>
      </w:r>
      <w:r>
        <w:rPr>
          <w:rFonts w:ascii="Times New Roman" w:hAnsi="Times New Roman"/>
        </w:rPr>
        <w:t>were established by the latest Bylaws</w:t>
      </w:r>
      <w:r w:rsidR="00760A0B">
        <w:rPr>
          <w:rFonts w:ascii="Times New Roman" w:hAnsi="Times New Roman"/>
        </w:rPr>
        <w:t xml:space="preserve"> revision</w:t>
      </w:r>
      <w:r>
        <w:rPr>
          <w:rFonts w:ascii="Times New Roman" w:hAnsi="Times New Roman"/>
        </w:rPr>
        <w:t xml:space="preserve">.  </w:t>
      </w:r>
      <w:r w:rsidR="00760A0B">
        <w:rPr>
          <w:rFonts w:ascii="Times New Roman" w:hAnsi="Times New Roman"/>
        </w:rPr>
        <w:t>The document included the Board chair’s assignment of Committee chairs as follows:</w:t>
      </w:r>
    </w:p>
    <w:p w:rsidR="00760A0B" w:rsidRDefault="00760A0B" w:rsidP="00253C94">
      <w:pPr>
        <w:rPr>
          <w:rFonts w:ascii="Times New Roman" w:hAnsi="Times New Roman"/>
        </w:rPr>
      </w:pPr>
    </w:p>
    <w:p w:rsidR="00760A0B" w:rsidRDefault="00760A0B" w:rsidP="00253C94">
      <w:pPr>
        <w:rPr>
          <w:rFonts w:ascii="Times New Roman" w:hAnsi="Times New Roman"/>
        </w:rPr>
      </w:pPr>
      <w:r>
        <w:rPr>
          <w:rFonts w:ascii="Times New Roman" w:hAnsi="Times New Roman"/>
        </w:rPr>
        <w:t>Finance Committee:  Nathan Andrews</w:t>
      </w:r>
    </w:p>
    <w:p w:rsidR="00760A0B" w:rsidRDefault="00760A0B" w:rsidP="00253C94">
      <w:pPr>
        <w:rPr>
          <w:rFonts w:ascii="Times New Roman" w:hAnsi="Times New Roman"/>
        </w:rPr>
      </w:pPr>
      <w:r>
        <w:rPr>
          <w:rFonts w:ascii="Times New Roman" w:hAnsi="Times New Roman"/>
        </w:rPr>
        <w:t>Strategic Planning Committee: Deborah Natvig</w:t>
      </w:r>
    </w:p>
    <w:p w:rsidR="00760A0B" w:rsidRDefault="00760A0B" w:rsidP="00253C94">
      <w:pPr>
        <w:rPr>
          <w:rFonts w:ascii="Times New Roman" w:hAnsi="Times New Roman"/>
        </w:rPr>
      </w:pPr>
      <w:r>
        <w:rPr>
          <w:rFonts w:ascii="Times New Roman" w:hAnsi="Times New Roman"/>
        </w:rPr>
        <w:t>Personnel Committee:  Mary Stackhouse</w:t>
      </w:r>
    </w:p>
    <w:p w:rsidR="00760A0B" w:rsidRDefault="00760A0B" w:rsidP="00253C94">
      <w:pPr>
        <w:rPr>
          <w:rFonts w:ascii="Times New Roman" w:hAnsi="Times New Roman"/>
        </w:rPr>
      </w:pPr>
      <w:r>
        <w:rPr>
          <w:rFonts w:ascii="Times New Roman" w:hAnsi="Times New Roman"/>
        </w:rPr>
        <w:t>Board Development Committee:  Malcolm O’Neal</w:t>
      </w:r>
    </w:p>
    <w:p w:rsidR="00760A0B" w:rsidRDefault="00760A0B" w:rsidP="00253C94">
      <w:pPr>
        <w:rPr>
          <w:rFonts w:ascii="Times New Roman" w:hAnsi="Times New Roman"/>
        </w:rPr>
      </w:pPr>
    </w:p>
    <w:p w:rsidR="004C6473" w:rsidRPr="004C6473" w:rsidRDefault="00760A0B" w:rsidP="00253C94">
      <w:pPr>
        <w:rPr>
          <w:rFonts w:ascii="Times New Roman" w:hAnsi="Times New Roman"/>
        </w:rPr>
      </w:pPr>
      <w:r>
        <w:rPr>
          <w:rFonts w:ascii="Times New Roman" w:hAnsi="Times New Roman"/>
        </w:rPr>
        <w:t>Mr. Britt explained that it is the responsibility of the committee chairs to select committee members.  After discussion</w:t>
      </w:r>
      <w:r w:rsidR="004C6473">
        <w:rPr>
          <w:rFonts w:ascii="Times New Roman" w:hAnsi="Times New Roman"/>
        </w:rPr>
        <w:t xml:space="preserve">, board members were asked to review this form and </w:t>
      </w:r>
      <w:r>
        <w:rPr>
          <w:rFonts w:ascii="Times New Roman" w:hAnsi="Times New Roman"/>
        </w:rPr>
        <w:t xml:space="preserve">indicate any </w:t>
      </w:r>
      <w:r w:rsidR="004C6473">
        <w:rPr>
          <w:rFonts w:ascii="Times New Roman" w:hAnsi="Times New Roman"/>
        </w:rPr>
        <w:t>committee</w:t>
      </w:r>
      <w:r>
        <w:rPr>
          <w:rFonts w:ascii="Times New Roman" w:hAnsi="Times New Roman"/>
        </w:rPr>
        <w:t>(</w:t>
      </w:r>
      <w:r w:rsidR="004C6473">
        <w:rPr>
          <w:rFonts w:ascii="Times New Roman" w:hAnsi="Times New Roman"/>
        </w:rPr>
        <w:t>s</w:t>
      </w:r>
      <w:r>
        <w:rPr>
          <w:rFonts w:ascii="Times New Roman" w:hAnsi="Times New Roman"/>
        </w:rPr>
        <w:t>)</w:t>
      </w:r>
      <w:r w:rsidR="004C6473">
        <w:rPr>
          <w:rFonts w:ascii="Times New Roman" w:hAnsi="Times New Roman"/>
        </w:rPr>
        <w:t xml:space="preserve"> they </w:t>
      </w:r>
      <w:r>
        <w:rPr>
          <w:rFonts w:ascii="Times New Roman" w:hAnsi="Times New Roman"/>
        </w:rPr>
        <w:t>are</w:t>
      </w:r>
      <w:r w:rsidR="004C6473">
        <w:rPr>
          <w:rFonts w:ascii="Times New Roman" w:hAnsi="Times New Roman"/>
        </w:rPr>
        <w:t xml:space="preserve"> interested in serving on.  The forms </w:t>
      </w:r>
      <w:r>
        <w:rPr>
          <w:rFonts w:ascii="Times New Roman" w:hAnsi="Times New Roman"/>
        </w:rPr>
        <w:t>should be turned in to Sue Veer.</w:t>
      </w:r>
    </w:p>
    <w:p w:rsidR="00253C94" w:rsidRDefault="00253C94" w:rsidP="00253C94">
      <w:pPr>
        <w:rPr>
          <w:rFonts w:ascii="Times New Roman" w:hAnsi="Times New Roman"/>
        </w:rPr>
      </w:pPr>
    </w:p>
    <w:p w:rsidR="00253C94" w:rsidRDefault="00253C94" w:rsidP="00253C94">
      <w:pPr>
        <w:rPr>
          <w:rFonts w:ascii="Times New Roman" w:hAnsi="Times New Roman"/>
          <w:b/>
          <w:u w:val="single"/>
        </w:rPr>
      </w:pPr>
      <w:r>
        <w:rPr>
          <w:rFonts w:ascii="Times New Roman" w:hAnsi="Times New Roman"/>
          <w:b/>
          <w:u w:val="single"/>
        </w:rPr>
        <w:t>Management Reports</w:t>
      </w:r>
    </w:p>
    <w:p w:rsidR="00253C94" w:rsidRDefault="00253C94" w:rsidP="00253C94">
      <w:pPr>
        <w:rPr>
          <w:rFonts w:ascii="Times New Roman" w:hAnsi="Times New Roman"/>
          <w:b/>
          <w:u w:val="single"/>
        </w:rPr>
      </w:pPr>
    </w:p>
    <w:p w:rsidR="00B33477" w:rsidRDefault="00253C94" w:rsidP="00253C94">
      <w:pPr>
        <w:rPr>
          <w:rFonts w:ascii="Times New Roman" w:hAnsi="Times New Roman"/>
          <w:u w:val="single"/>
        </w:rPr>
      </w:pPr>
      <w:r>
        <w:rPr>
          <w:rFonts w:ascii="Times New Roman" w:hAnsi="Times New Roman"/>
          <w:u w:val="single"/>
        </w:rPr>
        <w:t>Organizational Performance Reports</w:t>
      </w:r>
    </w:p>
    <w:p w:rsidR="00D01995" w:rsidRPr="00D01995" w:rsidRDefault="00D01995" w:rsidP="00253C94">
      <w:pPr>
        <w:rPr>
          <w:rFonts w:ascii="Times New Roman" w:hAnsi="Times New Roman"/>
        </w:rPr>
      </w:pPr>
      <w:r w:rsidRPr="00D01995">
        <w:rPr>
          <w:rFonts w:ascii="Times New Roman" w:hAnsi="Times New Roman"/>
        </w:rPr>
        <w:t>Paul Grogan</w:t>
      </w:r>
      <w:r>
        <w:rPr>
          <w:rFonts w:ascii="Times New Roman" w:hAnsi="Times New Roman"/>
        </w:rPr>
        <w:t xml:space="preserve"> presented the Organizational Performance Report.  A copy of the presentation and supporting documents will be retained with the official copy of the minutes and is available to board members on the Board Portal or upon request.</w:t>
      </w:r>
    </w:p>
    <w:p w:rsidR="00253C94" w:rsidRDefault="00253C94" w:rsidP="00253C94">
      <w:pPr>
        <w:rPr>
          <w:rFonts w:ascii="Times New Roman" w:hAnsi="Times New Roman"/>
          <w:u w:val="single"/>
        </w:rPr>
      </w:pPr>
    </w:p>
    <w:p w:rsidR="00253C94" w:rsidRDefault="00253C94" w:rsidP="00253C94">
      <w:pPr>
        <w:rPr>
          <w:rFonts w:ascii="Times New Roman" w:hAnsi="Times New Roman"/>
          <w:u w:val="single"/>
        </w:rPr>
      </w:pPr>
      <w:r>
        <w:rPr>
          <w:rFonts w:ascii="Times New Roman" w:hAnsi="Times New Roman"/>
          <w:u w:val="single"/>
        </w:rPr>
        <w:t>Chief Medical Officer Monthly Summary</w:t>
      </w:r>
    </w:p>
    <w:p w:rsidR="00253C94" w:rsidRDefault="00D01995" w:rsidP="00253C94">
      <w:pPr>
        <w:rPr>
          <w:rFonts w:ascii="Times New Roman" w:hAnsi="Times New Roman"/>
        </w:rPr>
      </w:pPr>
      <w:r>
        <w:rPr>
          <w:rFonts w:ascii="Times New Roman" w:hAnsi="Times New Roman"/>
        </w:rPr>
        <w:t>Dr. Locke Simons provided his regular monthly report.  Copies of the presentation will be retained with the official copy of the minutes and is available to board members on the Board Portal or upon request.</w:t>
      </w:r>
    </w:p>
    <w:p w:rsidR="00D01995" w:rsidRPr="00D01995" w:rsidRDefault="00D01995" w:rsidP="00253C94">
      <w:pPr>
        <w:rPr>
          <w:rFonts w:ascii="Times New Roman" w:hAnsi="Times New Roman"/>
        </w:rPr>
      </w:pPr>
    </w:p>
    <w:p w:rsidR="00253C94" w:rsidRDefault="00253C94" w:rsidP="00253C94">
      <w:pPr>
        <w:rPr>
          <w:rFonts w:ascii="Times New Roman" w:hAnsi="Times New Roman"/>
          <w:u w:val="single"/>
        </w:rPr>
      </w:pPr>
      <w:r>
        <w:rPr>
          <w:rFonts w:ascii="Times New Roman" w:hAnsi="Times New Roman"/>
          <w:u w:val="single"/>
        </w:rPr>
        <w:t xml:space="preserve">Quarterly Reports: </w:t>
      </w:r>
    </w:p>
    <w:p w:rsidR="00253C94" w:rsidRDefault="00253C94" w:rsidP="00B33477">
      <w:pPr>
        <w:pStyle w:val="ListParagraph"/>
        <w:numPr>
          <w:ilvl w:val="0"/>
          <w:numId w:val="2"/>
        </w:numPr>
        <w:rPr>
          <w:rFonts w:ascii="Times New Roman" w:hAnsi="Times New Roman"/>
          <w:u w:val="single"/>
        </w:rPr>
      </w:pPr>
      <w:r w:rsidRPr="00B33477">
        <w:rPr>
          <w:rFonts w:ascii="Times New Roman" w:hAnsi="Times New Roman"/>
          <w:u w:val="single"/>
        </w:rPr>
        <w:t>Early Childhood Services</w:t>
      </w:r>
    </w:p>
    <w:p w:rsidR="00A86859" w:rsidRDefault="003F1332" w:rsidP="00D01995">
      <w:pPr>
        <w:pStyle w:val="ListParagraph"/>
        <w:rPr>
          <w:rFonts w:ascii="Times New Roman" w:hAnsi="Times New Roman"/>
        </w:rPr>
      </w:pPr>
      <w:r>
        <w:rPr>
          <w:rFonts w:ascii="Times New Roman" w:hAnsi="Times New Roman"/>
        </w:rPr>
        <w:t>Sue Veer introduced Georgia Deal, Director of Early Childhood Services</w:t>
      </w:r>
      <w:r w:rsidR="00E21CD8">
        <w:rPr>
          <w:rFonts w:ascii="Times New Roman" w:hAnsi="Times New Roman"/>
        </w:rPr>
        <w:t xml:space="preserve">. </w:t>
      </w:r>
    </w:p>
    <w:p w:rsidR="00A86859" w:rsidRDefault="00687114" w:rsidP="00A86859">
      <w:pPr>
        <w:pStyle w:val="ListParagraph"/>
        <w:numPr>
          <w:ilvl w:val="0"/>
          <w:numId w:val="11"/>
        </w:numPr>
        <w:ind w:left="1080"/>
        <w:rPr>
          <w:rFonts w:ascii="Times New Roman" w:hAnsi="Times New Roman"/>
        </w:rPr>
      </w:pPr>
      <w:r>
        <w:rPr>
          <w:rFonts w:ascii="Times New Roman" w:hAnsi="Times New Roman"/>
        </w:rPr>
        <w:t>Mrs. Deal</w:t>
      </w:r>
      <w:r w:rsidR="00263F81">
        <w:rPr>
          <w:rFonts w:ascii="Times New Roman" w:hAnsi="Times New Roman"/>
        </w:rPr>
        <w:t xml:space="preserve"> </w:t>
      </w:r>
      <w:r w:rsidR="00760A0B">
        <w:rPr>
          <w:rFonts w:ascii="Times New Roman" w:hAnsi="Times New Roman"/>
        </w:rPr>
        <w:t>provided an overview of the six programs</w:t>
      </w:r>
      <w:r w:rsidR="00E21CD8">
        <w:rPr>
          <w:rFonts w:ascii="Times New Roman" w:hAnsi="Times New Roman"/>
        </w:rPr>
        <w:t xml:space="preserve"> available</w:t>
      </w:r>
      <w:r w:rsidR="00760A0B">
        <w:rPr>
          <w:rFonts w:ascii="Times New Roman" w:hAnsi="Times New Roman"/>
        </w:rPr>
        <w:t xml:space="preserve"> through the Department of Early Childhood Services</w:t>
      </w:r>
      <w:r w:rsidR="00E21CD8">
        <w:rPr>
          <w:rFonts w:ascii="Times New Roman" w:hAnsi="Times New Roman"/>
        </w:rPr>
        <w:t xml:space="preserve">:  Healthy Steps, Nurse Family Partnership, Healthy Families, Moving Beyond Depression, Care Coordination, and Translation. </w:t>
      </w:r>
    </w:p>
    <w:p w:rsidR="00A86859" w:rsidRDefault="00EE19B4" w:rsidP="00A86859">
      <w:pPr>
        <w:pStyle w:val="ListParagraph"/>
        <w:numPr>
          <w:ilvl w:val="0"/>
          <w:numId w:val="11"/>
        </w:numPr>
        <w:ind w:left="1080"/>
        <w:rPr>
          <w:rFonts w:ascii="Times New Roman" w:hAnsi="Times New Roman"/>
        </w:rPr>
      </w:pPr>
      <w:r>
        <w:rPr>
          <w:rFonts w:ascii="Times New Roman" w:hAnsi="Times New Roman"/>
        </w:rPr>
        <w:t>She</w:t>
      </w:r>
      <w:r w:rsidR="00265C24">
        <w:rPr>
          <w:rFonts w:ascii="Times New Roman" w:hAnsi="Times New Roman"/>
        </w:rPr>
        <w:t xml:space="preserve"> </w:t>
      </w:r>
      <w:r w:rsidR="00760A0B">
        <w:rPr>
          <w:rFonts w:ascii="Times New Roman" w:hAnsi="Times New Roman"/>
        </w:rPr>
        <w:t>explained</w:t>
      </w:r>
      <w:r w:rsidR="00263F81">
        <w:rPr>
          <w:rFonts w:ascii="Times New Roman" w:hAnsi="Times New Roman"/>
        </w:rPr>
        <w:t xml:space="preserve"> </w:t>
      </w:r>
      <w:r>
        <w:rPr>
          <w:rFonts w:ascii="Times New Roman" w:hAnsi="Times New Roman"/>
        </w:rPr>
        <w:t xml:space="preserve">“brain </w:t>
      </w:r>
      <w:r w:rsidR="00263F81">
        <w:rPr>
          <w:rFonts w:ascii="Times New Roman" w:hAnsi="Times New Roman"/>
        </w:rPr>
        <w:t>models</w:t>
      </w:r>
      <w:r>
        <w:rPr>
          <w:rFonts w:ascii="Times New Roman" w:hAnsi="Times New Roman"/>
        </w:rPr>
        <w:t>”</w:t>
      </w:r>
      <w:r w:rsidR="00263F81">
        <w:rPr>
          <w:rFonts w:ascii="Times New Roman" w:hAnsi="Times New Roman"/>
        </w:rPr>
        <w:t xml:space="preserve"> </w:t>
      </w:r>
      <w:r w:rsidR="00760A0B">
        <w:rPr>
          <w:rFonts w:ascii="Times New Roman" w:hAnsi="Times New Roman"/>
        </w:rPr>
        <w:t>and discussed the</w:t>
      </w:r>
      <w:r>
        <w:rPr>
          <w:rFonts w:ascii="Times New Roman" w:hAnsi="Times New Roman"/>
        </w:rPr>
        <w:t xml:space="preserve"> </w:t>
      </w:r>
      <w:r w:rsidR="00460F46">
        <w:rPr>
          <w:rFonts w:ascii="Times New Roman" w:hAnsi="Times New Roman"/>
        </w:rPr>
        <w:t xml:space="preserve">interactions </w:t>
      </w:r>
      <w:r w:rsidR="00760A0B">
        <w:rPr>
          <w:rFonts w:ascii="Times New Roman" w:hAnsi="Times New Roman"/>
        </w:rPr>
        <w:t xml:space="preserve">that </w:t>
      </w:r>
      <w:r w:rsidR="00460F46">
        <w:rPr>
          <w:rFonts w:ascii="Times New Roman" w:hAnsi="Times New Roman"/>
        </w:rPr>
        <w:t>help to develop</w:t>
      </w:r>
      <w:r w:rsidR="00263F81">
        <w:rPr>
          <w:rFonts w:ascii="Times New Roman" w:hAnsi="Times New Roman"/>
        </w:rPr>
        <w:t xml:space="preserve"> a normal brain.  </w:t>
      </w:r>
    </w:p>
    <w:p w:rsidR="00D01995" w:rsidRDefault="00EE19B4" w:rsidP="00A86859">
      <w:pPr>
        <w:pStyle w:val="ListParagraph"/>
        <w:numPr>
          <w:ilvl w:val="0"/>
          <w:numId w:val="11"/>
        </w:numPr>
        <w:ind w:left="1080"/>
        <w:rPr>
          <w:rFonts w:ascii="Times New Roman" w:hAnsi="Times New Roman"/>
        </w:rPr>
      </w:pPr>
      <w:r>
        <w:rPr>
          <w:rFonts w:ascii="Times New Roman" w:hAnsi="Times New Roman"/>
        </w:rPr>
        <w:t>Mrs.</w:t>
      </w:r>
      <w:r w:rsidR="00E21CD8">
        <w:rPr>
          <w:rFonts w:ascii="Times New Roman" w:hAnsi="Times New Roman"/>
        </w:rPr>
        <w:t xml:space="preserve"> </w:t>
      </w:r>
      <w:r w:rsidR="00687114">
        <w:rPr>
          <w:rFonts w:ascii="Times New Roman" w:hAnsi="Times New Roman"/>
        </w:rPr>
        <w:t>Deal</w:t>
      </w:r>
      <w:r>
        <w:rPr>
          <w:rFonts w:ascii="Times New Roman" w:hAnsi="Times New Roman"/>
        </w:rPr>
        <w:t xml:space="preserve"> also </w:t>
      </w:r>
      <w:r w:rsidR="00E21CD8">
        <w:rPr>
          <w:rFonts w:ascii="Times New Roman" w:hAnsi="Times New Roman"/>
        </w:rPr>
        <w:t xml:space="preserve">shared </w:t>
      </w:r>
      <w:r w:rsidR="00263F81">
        <w:rPr>
          <w:rFonts w:ascii="Times New Roman" w:hAnsi="Times New Roman"/>
        </w:rPr>
        <w:t>a video that was presented at the CHC Staff-wide meeting on Tuesday, October 18</w:t>
      </w:r>
      <w:r w:rsidR="00263F81" w:rsidRPr="00263F81">
        <w:rPr>
          <w:rFonts w:ascii="Times New Roman" w:hAnsi="Times New Roman"/>
          <w:vertAlign w:val="superscript"/>
        </w:rPr>
        <w:t>th</w:t>
      </w:r>
      <w:r w:rsidR="00760A0B">
        <w:rPr>
          <w:rFonts w:ascii="Times New Roman" w:hAnsi="Times New Roman"/>
        </w:rPr>
        <w:t xml:space="preserve"> introducing the </w:t>
      </w:r>
      <w:r w:rsidR="00263F81">
        <w:rPr>
          <w:rFonts w:ascii="Times New Roman" w:hAnsi="Times New Roman"/>
        </w:rPr>
        <w:t>staff of each of the 6 programs</w:t>
      </w:r>
      <w:r w:rsidR="00460F46">
        <w:rPr>
          <w:rFonts w:ascii="Times New Roman" w:hAnsi="Times New Roman"/>
        </w:rPr>
        <w:t xml:space="preserve"> and </w:t>
      </w:r>
      <w:r w:rsidR="00760A0B">
        <w:rPr>
          <w:rFonts w:ascii="Times New Roman" w:hAnsi="Times New Roman"/>
        </w:rPr>
        <w:t xml:space="preserve">providing </w:t>
      </w:r>
      <w:r w:rsidR="00460F46">
        <w:rPr>
          <w:rFonts w:ascii="Times New Roman" w:hAnsi="Times New Roman"/>
        </w:rPr>
        <w:t xml:space="preserve">a brief </w:t>
      </w:r>
      <w:r w:rsidR="00760A0B">
        <w:rPr>
          <w:rFonts w:ascii="Times New Roman" w:hAnsi="Times New Roman"/>
        </w:rPr>
        <w:t>summary about their roles and responsibilities</w:t>
      </w:r>
      <w:r w:rsidR="00263F81">
        <w:rPr>
          <w:rFonts w:ascii="Times New Roman" w:hAnsi="Times New Roman"/>
        </w:rPr>
        <w:t>.</w:t>
      </w:r>
    </w:p>
    <w:p w:rsidR="00A86859" w:rsidRDefault="00760A0B" w:rsidP="00A86859">
      <w:pPr>
        <w:pStyle w:val="ListParagraph"/>
        <w:numPr>
          <w:ilvl w:val="0"/>
          <w:numId w:val="11"/>
        </w:numPr>
        <w:ind w:left="1080"/>
        <w:rPr>
          <w:rFonts w:ascii="Times New Roman" w:hAnsi="Times New Roman"/>
        </w:rPr>
      </w:pPr>
      <w:r>
        <w:rPr>
          <w:rFonts w:ascii="Times New Roman" w:hAnsi="Times New Roman"/>
        </w:rPr>
        <w:t xml:space="preserve">Sue Veer commented that there has been no loss of funding through this leadership transition and Paul Grogan commented on how effectively the ECS Department was coordinating with the Finance Department.  </w:t>
      </w:r>
    </w:p>
    <w:p w:rsidR="00460F46" w:rsidRDefault="00460F46" w:rsidP="00D01995">
      <w:pPr>
        <w:pStyle w:val="ListParagraph"/>
        <w:rPr>
          <w:rFonts w:ascii="Times New Roman" w:hAnsi="Times New Roman"/>
        </w:rPr>
      </w:pPr>
    </w:p>
    <w:p w:rsidR="00253C94" w:rsidRPr="00B33477" w:rsidRDefault="00253C94" w:rsidP="00B33477">
      <w:pPr>
        <w:pStyle w:val="ListParagraph"/>
        <w:numPr>
          <w:ilvl w:val="0"/>
          <w:numId w:val="2"/>
        </w:numPr>
        <w:rPr>
          <w:rFonts w:ascii="Times New Roman" w:hAnsi="Times New Roman"/>
          <w:u w:val="single"/>
        </w:rPr>
      </w:pPr>
      <w:r w:rsidRPr="00B33477">
        <w:rPr>
          <w:rFonts w:ascii="Times New Roman" w:hAnsi="Times New Roman"/>
          <w:u w:val="single"/>
        </w:rPr>
        <w:t>Department of Pharmacy</w:t>
      </w:r>
    </w:p>
    <w:p w:rsidR="00253C94" w:rsidRDefault="00A53272" w:rsidP="00A53272">
      <w:pPr>
        <w:ind w:left="720"/>
        <w:rPr>
          <w:rFonts w:ascii="Times New Roman" w:hAnsi="Times New Roman"/>
        </w:rPr>
      </w:pPr>
      <w:r>
        <w:rPr>
          <w:rFonts w:ascii="Times New Roman" w:hAnsi="Times New Roman"/>
        </w:rPr>
        <w:t xml:space="preserve">Dr. Dominic Mellette </w:t>
      </w:r>
      <w:r w:rsidR="00760A0B">
        <w:rPr>
          <w:rFonts w:ascii="Times New Roman" w:hAnsi="Times New Roman"/>
        </w:rPr>
        <w:t>provided</w:t>
      </w:r>
      <w:r>
        <w:rPr>
          <w:rFonts w:ascii="Times New Roman" w:hAnsi="Times New Roman"/>
        </w:rPr>
        <w:t xml:space="preserve"> the quarterly pharmacy report noting the following:</w:t>
      </w:r>
    </w:p>
    <w:p w:rsidR="00E21CD8" w:rsidRDefault="00E21CD8" w:rsidP="00E21CD8">
      <w:pPr>
        <w:pStyle w:val="ListParagraph"/>
        <w:numPr>
          <w:ilvl w:val="0"/>
          <w:numId w:val="6"/>
        </w:numPr>
        <w:ind w:left="1080"/>
        <w:rPr>
          <w:rFonts w:ascii="Times New Roman" w:hAnsi="Times New Roman"/>
        </w:rPr>
      </w:pPr>
      <w:r>
        <w:rPr>
          <w:rFonts w:ascii="Times New Roman" w:hAnsi="Times New Roman"/>
        </w:rPr>
        <w:t>Pharmacy News</w:t>
      </w:r>
    </w:p>
    <w:p w:rsidR="00A53272" w:rsidRDefault="00A53272" w:rsidP="00A53272">
      <w:pPr>
        <w:pStyle w:val="ListParagraph"/>
        <w:numPr>
          <w:ilvl w:val="0"/>
          <w:numId w:val="5"/>
        </w:numPr>
        <w:rPr>
          <w:rFonts w:ascii="Times New Roman" w:hAnsi="Times New Roman"/>
        </w:rPr>
      </w:pPr>
      <w:r>
        <w:rPr>
          <w:rFonts w:ascii="Times New Roman" w:hAnsi="Times New Roman"/>
        </w:rPr>
        <w:t xml:space="preserve">John Cottle, Pharmacist at CCP V </w:t>
      </w:r>
      <w:r w:rsidR="00760A0B">
        <w:rPr>
          <w:rFonts w:ascii="Times New Roman" w:hAnsi="Times New Roman"/>
        </w:rPr>
        <w:t>has returned from sick leave following</w:t>
      </w:r>
      <w:r>
        <w:rPr>
          <w:rFonts w:ascii="Times New Roman" w:hAnsi="Times New Roman"/>
        </w:rPr>
        <w:t xml:space="preserve"> knee surgery </w:t>
      </w:r>
      <w:r w:rsidR="00760A0B">
        <w:rPr>
          <w:rFonts w:ascii="Times New Roman" w:hAnsi="Times New Roman"/>
        </w:rPr>
        <w:t>which has relieved some pressure in terms of staff coverage</w:t>
      </w:r>
      <w:r>
        <w:rPr>
          <w:rFonts w:ascii="Times New Roman" w:hAnsi="Times New Roman"/>
        </w:rPr>
        <w:t>.</w:t>
      </w:r>
    </w:p>
    <w:p w:rsidR="00A53272" w:rsidRDefault="00A53272" w:rsidP="00A53272">
      <w:pPr>
        <w:pStyle w:val="ListParagraph"/>
        <w:numPr>
          <w:ilvl w:val="0"/>
          <w:numId w:val="5"/>
        </w:numPr>
        <w:rPr>
          <w:rFonts w:ascii="Times New Roman" w:hAnsi="Times New Roman"/>
        </w:rPr>
      </w:pPr>
      <w:r>
        <w:rPr>
          <w:rFonts w:ascii="Times New Roman" w:hAnsi="Times New Roman"/>
        </w:rPr>
        <w:t>Ashley Batson, newest pharmacist is proving to be a strong asset.</w:t>
      </w:r>
    </w:p>
    <w:p w:rsidR="00A53272" w:rsidRDefault="00A53272" w:rsidP="00A53272">
      <w:pPr>
        <w:pStyle w:val="ListParagraph"/>
        <w:numPr>
          <w:ilvl w:val="0"/>
          <w:numId w:val="5"/>
        </w:numPr>
        <w:rPr>
          <w:rFonts w:ascii="Times New Roman" w:hAnsi="Times New Roman"/>
        </w:rPr>
      </w:pPr>
      <w:r>
        <w:rPr>
          <w:rFonts w:ascii="Times New Roman" w:hAnsi="Times New Roman"/>
        </w:rPr>
        <w:t>Both CCP V and CCP NW</w:t>
      </w:r>
      <w:r w:rsidR="00BA7622">
        <w:rPr>
          <w:rFonts w:ascii="Times New Roman" w:hAnsi="Times New Roman"/>
        </w:rPr>
        <w:t xml:space="preserve"> a</w:t>
      </w:r>
      <w:r w:rsidR="00E21CD8">
        <w:rPr>
          <w:rFonts w:ascii="Times New Roman" w:hAnsi="Times New Roman"/>
        </w:rPr>
        <w:t>r</w:t>
      </w:r>
      <w:r w:rsidR="00BA7622">
        <w:rPr>
          <w:rFonts w:ascii="Times New Roman" w:hAnsi="Times New Roman"/>
        </w:rPr>
        <w:t>e now signed up for RxAnte and Equipp</w:t>
      </w:r>
      <w:r w:rsidR="00760A0B">
        <w:rPr>
          <w:rFonts w:ascii="Times New Roman" w:hAnsi="Times New Roman"/>
        </w:rPr>
        <w:t xml:space="preserve"> which are programs that assist in affordability of certain medications. </w:t>
      </w:r>
      <w:r w:rsidR="00BA7622">
        <w:rPr>
          <w:rFonts w:ascii="Times New Roman" w:hAnsi="Times New Roman"/>
        </w:rPr>
        <w:t xml:space="preserve">.  </w:t>
      </w:r>
    </w:p>
    <w:p w:rsidR="00E21CD8" w:rsidRDefault="00E21CD8" w:rsidP="00E21CD8">
      <w:pPr>
        <w:pStyle w:val="ListParagraph"/>
        <w:numPr>
          <w:ilvl w:val="0"/>
          <w:numId w:val="6"/>
        </w:numPr>
        <w:ind w:left="1080"/>
        <w:rPr>
          <w:rFonts w:ascii="Times New Roman" w:hAnsi="Times New Roman"/>
        </w:rPr>
      </w:pPr>
      <w:r>
        <w:rPr>
          <w:rFonts w:ascii="Times New Roman" w:hAnsi="Times New Roman"/>
        </w:rPr>
        <w:t>Organizational Performance Report – Pharmacy</w:t>
      </w:r>
    </w:p>
    <w:p w:rsidR="00E21CD8" w:rsidRDefault="00E21CD8" w:rsidP="00E21CD8">
      <w:pPr>
        <w:pStyle w:val="ListParagraph"/>
        <w:numPr>
          <w:ilvl w:val="0"/>
          <w:numId w:val="7"/>
        </w:numPr>
        <w:ind w:left="1440"/>
        <w:rPr>
          <w:rFonts w:ascii="Times New Roman" w:hAnsi="Times New Roman"/>
        </w:rPr>
      </w:pPr>
      <w:r>
        <w:rPr>
          <w:rFonts w:ascii="Times New Roman" w:hAnsi="Times New Roman"/>
        </w:rPr>
        <w:t>Total number of Prescriptions filled – 27,485</w:t>
      </w:r>
    </w:p>
    <w:p w:rsidR="00E21CD8" w:rsidRDefault="00460F46" w:rsidP="00A86859">
      <w:pPr>
        <w:pStyle w:val="ListParagraph"/>
        <w:numPr>
          <w:ilvl w:val="0"/>
          <w:numId w:val="8"/>
        </w:numPr>
        <w:rPr>
          <w:rFonts w:ascii="Times New Roman" w:hAnsi="Times New Roman"/>
        </w:rPr>
      </w:pPr>
      <w:r>
        <w:rPr>
          <w:rFonts w:ascii="Times New Roman" w:hAnsi="Times New Roman"/>
        </w:rPr>
        <w:t>CCP NW – 14,476</w:t>
      </w:r>
    </w:p>
    <w:p w:rsidR="00460F46" w:rsidRDefault="00460F46" w:rsidP="00A86859">
      <w:pPr>
        <w:pStyle w:val="ListParagraph"/>
        <w:numPr>
          <w:ilvl w:val="0"/>
          <w:numId w:val="8"/>
        </w:numPr>
        <w:rPr>
          <w:rFonts w:ascii="Times New Roman" w:hAnsi="Times New Roman"/>
        </w:rPr>
      </w:pPr>
      <w:r>
        <w:rPr>
          <w:rFonts w:ascii="Times New Roman" w:hAnsi="Times New Roman"/>
        </w:rPr>
        <w:t>CCP V – 13,009</w:t>
      </w:r>
    </w:p>
    <w:p w:rsidR="00460F46" w:rsidRDefault="00460F46" w:rsidP="00A86859">
      <w:pPr>
        <w:pStyle w:val="ListParagraph"/>
        <w:numPr>
          <w:ilvl w:val="0"/>
          <w:numId w:val="8"/>
        </w:numPr>
        <w:rPr>
          <w:rFonts w:ascii="Times New Roman" w:hAnsi="Times New Roman"/>
        </w:rPr>
      </w:pPr>
      <w:r>
        <w:rPr>
          <w:rFonts w:ascii="Times New Roman" w:hAnsi="Times New Roman"/>
        </w:rPr>
        <w:t>Deliveries – all sites – 2155</w:t>
      </w:r>
    </w:p>
    <w:p w:rsidR="00460F46" w:rsidRDefault="00460F46" w:rsidP="00460F46">
      <w:pPr>
        <w:pStyle w:val="ListParagraph"/>
        <w:numPr>
          <w:ilvl w:val="0"/>
          <w:numId w:val="7"/>
        </w:numPr>
        <w:ind w:left="1440"/>
        <w:rPr>
          <w:rFonts w:ascii="Times New Roman" w:hAnsi="Times New Roman"/>
        </w:rPr>
      </w:pPr>
      <w:r>
        <w:rPr>
          <w:rFonts w:ascii="Times New Roman" w:hAnsi="Times New Roman"/>
        </w:rPr>
        <w:t>Medication Management Therapy (MTM</w:t>
      </w:r>
      <w:r w:rsidR="00A86859">
        <w:rPr>
          <w:rFonts w:ascii="Times New Roman" w:hAnsi="Times New Roman"/>
        </w:rPr>
        <w:t>)</w:t>
      </w:r>
    </w:p>
    <w:p w:rsidR="00460F46" w:rsidRDefault="00460F46" w:rsidP="00A86859">
      <w:pPr>
        <w:pStyle w:val="ListParagraph"/>
        <w:numPr>
          <w:ilvl w:val="0"/>
          <w:numId w:val="9"/>
        </w:numPr>
        <w:rPr>
          <w:rFonts w:ascii="Times New Roman" w:hAnsi="Times New Roman"/>
        </w:rPr>
      </w:pPr>
      <w:r>
        <w:rPr>
          <w:rFonts w:ascii="Times New Roman" w:hAnsi="Times New Roman"/>
        </w:rPr>
        <w:t>CCP NW – 3</w:t>
      </w:r>
    </w:p>
    <w:p w:rsidR="00460F46" w:rsidRDefault="00460F46" w:rsidP="00A86859">
      <w:pPr>
        <w:pStyle w:val="ListParagraph"/>
        <w:numPr>
          <w:ilvl w:val="0"/>
          <w:numId w:val="9"/>
        </w:numPr>
        <w:rPr>
          <w:rFonts w:ascii="Times New Roman" w:hAnsi="Times New Roman"/>
        </w:rPr>
      </w:pPr>
      <w:r>
        <w:rPr>
          <w:rFonts w:ascii="Times New Roman" w:hAnsi="Times New Roman"/>
        </w:rPr>
        <w:t>CCP V – 5</w:t>
      </w:r>
    </w:p>
    <w:p w:rsidR="00460F46" w:rsidRPr="00A53272" w:rsidRDefault="00460F46" w:rsidP="00460F46">
      <w:pPr>
        <w:pStyle w:val="ListParagraph"/>
        <w:numPr>
          <w:ilvl w:val="0"/>
          <w:numId w:val="7"/>
        </w:numPr>
        <w:ind w:left="1440"/>
        <w:rPr>
          <w:rFonts w:ascii="Times New Roman" w:hAnsi="Times New Roman"/>
        </w:rPr>
      </w:pPr>
      <w:r>
        <w:rPr>
          <w:rFonts w:ascii="Times New Roman" w:hAnsi="Times New Roman"/>
        </w:rPr>
        <w:t>Total Net Revenue - $996,033</w:t>
      </w:r>
    </w:p>
    <w:p w:rsidR="00D01995" w:rsidRDefault="00A86859" w:rsidP="00A86859">
      <w:pPr>
        <w:pStyle w:val="ListParagraph"/>
        <w:numPr>
          <w:ilvl w:val="0"/>
          <w:numId w:val="10"/>
        </w:numPr>
        <w:rPr>
          <w:rFonts w:ascii="Times New Roman" w:hAnsi="Times New Roman"/>
        </w:rPr>
      </w:pPr>
      <w:r w:rsidRPr="00A86859">
        <w:rPr>
          <w:rFonts w:ascii="Times New Roman" w:hAnsi="Times New Roman"/>
        </w:rPr>
        <w:t>Gross Sales</w:t>
      </w:r>
      <w:r>
        <w:rPr>
          <w:rFonts w:ascii="Times New Roman" w:hAnsi="Times New Roman"/>
        </w:rPr>
        <w:t xml:space="preserve"> – Pharmaceuticals - $967,233</w:t>
      </w:r>
    </w:p>
    <w:p w:rsidR="00A86859" w:rsidRDefault="00A86859" w:rsidP="00A86859">
      <w:pPr>
        <w:pStyle w:val="ListParagraph"/>
        <w:numPr>
          <w:ilvl w:val="0"/>
          <w:numId w:val="10"/>
        </w:numPr>
        <w:rPr>
          <w:rFonts w:ascii="Times New Roman" w:hAnsi="Times New Roman"/>
        </w:rPr>
      </w:pPr>
      <w:r>
        <w:rPr>
          <w:rFonts w:ascii="Times New Roman" w:hAnsi="Times New Roman"/>
        </w:rPr>
        <w:t>Margin Pharmaceuticals - $319.75</w:t>
      </w:r>
    </w:p>
    <w:p w:rsidR="00A86859" w:rsidRDefault="00A86859" w:rsidP="00A86859">
      <w:pPr>
        <w:pStyle w:val="ListParagraph"/>
        <w:numPr>
          <w:ilvl w:val="0"/>
          <w:numId w:val="10"/>
        </w:numPr>
        <w:rPr>
          <w:rFonts w:ascii="Times New Roman" w:hAnsi="Times New Roman"/>
        </w:rPr>
      </w:pPr>
      <w:r>
        <w:rPr>
          <w:rFonts w:ascii="Times New Roman" w:hAnsi="Times New Roman"/>
        </w:rPr>
        <w:t>Gross Sales – Merchandise - $28,800</w:t>
      </w:r>
    </w:p>
    <w:p w:rsidR="00A86859" w:rsidRPr="00A86859" w:rsidRDefault="00A86859" w:rsidP="00A86859">
      <w:pPr>
        <w:rPr>
          <w:rFonts w:ascii="Times New Roman" w:hAnsi="Times New Roman"/>
        </w:rPr>
      </w:pPr>
    </w:p>
    <w:p w:rsidR="00253C94" w:rsidRPr="00B33477" w:rsidRDefault="00253C94" w:rsidP="00B33477">
      <w:pPr>
        <w:pStyle w:val="ListParagraph"/>
        <w:numPr>
          <w:ilvl w:val="0"/>
          <w:numId w:val="2"/>
        </w:numPr>
        <w:rPr>
          <w:rFonts w:ascii="Times New Roman" w:hAnsi="Times New Roman"/>
          <w:u w:val="single"/>
        </w:rPr>
      </w:pPr>
      <w:r w:rsidRPr="00B33477">
        <w:rPr>
          <w:rFonts w:ascii="Times New Roman" w:hAnsi="Times New Roman"/>
          <w:u w:val="single"/>
        </w:rPr>
        <w:t>Operations Division</w:t>
      </w:r>
      <w:r w:rsidR="003F1332">
        <w:rPr>
          <w:rFonts w:ascii="Times New Roman" w:hAnsi="Times New Roman"/>
          <w:u w:val="single"/>
        </w:rPr>
        <w:t xml:space="preserve">- </w:t>
      </w:r>
      <w:r w:rsidR="003F1332" w:rsidRPr="003F1332">
        <w:rPr>
          <w:rFonts w:ascii="Times New Roman" w:hAnsi="Times New Roman"/>
        </w:rPr>
        <w:t>Deferred until November meeting</w:t>
      </w:r>
    </w:p>
    <w:p w:rsidR="00D01995" w:rsidRDefault="00D01995" w:rsidP="00253C94">
      <w:pPr>
        <w:rPr>
          <w:rFonts w:ascii="Times New Roman" w:hAnsi="Times New Roman"/>
          <w:u w:val="single"/>
        </w:rPr>
      </w:pPr>
    </w:p>
    <w:p w:rsidR="00253C94" w:rsidRDefault="00253C94" w:rsidP="00253C94">
      <w:pPr>
        <w:rPr>
          <w:rFonts w:ascii="Times New Roman" w:hAnsi="Times New Roman"/>
          <w:u w:val="single"/>
        </w:rPr>
      </w:pPr>
      <w:r>
        <w:rPr>
          <w:rFonts w:ascii="Times New Roman" w:hAnsi="Times New Roman"/>
          <w:u w:val="single"/>
        </w:rPr>
        <w:t>President’s Report</w:t>
      </w:r>
    </w:p>
    <w:p w:rsidR="00253C94" w:rsidRPr="00B33477" w:rsidRDefault="00B33477" w:rsidP="00B33477">
      <w:pPr>
        <w:pStyle w:val="ListParagraph"/>
        <w:numPr>
          <w:ilvl w:val="0"/>
          <w:numId w:val="3"/>
        </w:numPr>
        <w:rPr>
          <w:rFonts w:ascii="Times New Roman" w:hAnsi="Times New Roman"/>
          <w:u w:val="single"/>
        </w:rPr>
      </w:pPr>
      <w:r>
        <w:rPr>
          <w:rFonts w:ascii="Times New Roman" w:hAnsi="Times New Roman"/>
          <w:u w:val="single"/>
        </w:rPr>
        <w:t>Quarterly Report</w:t>
      </w:r>
    </w:p>
    <w:p w:rsidR="00253C94" w:rsidRDefault="00687114" w:rsidP="00687114">
      <w:pPr>
        <w:ind w:left="720"/>
        <w:rPr>
          <w:rFonts w:ascii="Times New Roman" w:hAnsi="Times New Roman"/>
        </w:rPr>
      </w:pPr>
      <w:r>
        <w:rPr>
          <w:rFonts w:ascii="Times New Roman" w:hAnsi="Times New Roman"/>
        </w:rPr>
        <w:lastRenderedPageBreak/>
        <w:t xml:space="preserve">Sue Veer </w:t>
      </w:r>
      <w:r w:rsidR="00977DA7">
        <w:rPr>
          <w:rFonts w:ascii="Times New Roman" w:hAnsi="Times New Roman"/>
        </w:rPr>
        <w:t>distributed her report for the board to review and called attention to Topic # 4 – Fee in Lieu of Taxes – City of Greenwood.  Five years ago the City of Greenwood proposed a business license tax for all non-profit companies operating within the city limits.  The tax would have been calculated based on total corporate revenue regardless of what county the revenue was generated.  Three of the largest non-profit organizations – Self Regional Healthcare, Carolina Health Centers, Inc. and Wesley Commons – came together and submitted a proposal to pay a fee in lieu of tax over a five year period.</w:t>
      </w:r>
    </w:p>
    <w:p w:rsidR="00EE19B4" w:rsidRDefault="00EE19B4" w:rsidP="00687114">
      <w:pPr>
        <w:ind w:left="720"/>
        <w:rPr>
          <w:rFonts w:ascii="Times New Roman" w:hAnsi="Times New Roman"/>
        </w:rPr>
      </w:pPr>
    </w:p>
    <w:p w:rsidR="00EE19B4" w:rsidRDefault="006B46DD" w:rsidP="00687114">
      <w:pPr>
        <w:ind w:left="720"/>
        <w:rPr>
          <w:rFonts w:ascii="Times New Roman" w:hAnsi="Times New Roman"/>
        </w:rPr>
      </w:pPr>
      <w:r>
        <w:rPr>
          <w:rFonts w:ascii="Times New Roman" w:hAnsi="Times New Roman"/>
        </w:rPr>
        <w:t xml:space="preserve">CHC has now reached </w:t>
      </w:r>
      <w:r w:rsidR="00EE19B4">
        <w:rPr>
          <w:rFonts w:ascii="Times New Roman" w:hAnsi="Times New Roman"/>
        </w:rPr>
        <w:t xml:space="preserve">the end of that five-year commitment </w:t>
      </w:r>
      <w:r>
        <w:rPr>
          <w:rFonts w:ascii="Times New Roman" w:hAnsi="Times New Roman"/>
        </w:rPr>
        <w:t xml:space="preserve">and the city has held multiple meetings with CHC and Wesley Commons (SRH requested separate negotiations) to negotiate a continuation of the fee in lieu of taxes.  CHC agrees to continued support but the agreement was prefaced with two requirements:  1)  the city recognize that this is not a commitment to a permanent fee structure and CHC anticipates a reduction or discontinuation of this fee agreement should the City of Greenwood identify additional </w:t>
      </w:r>
      <w:r w:rsidR="0044520A">
        <w:rPr>
          <w:rFonts w:ascii="Times New Roman" w:hAnsi="Times New Roman"/>
        </w:rPr>
        <w:t>budget resources; and 2) the city attempt to secure additional support from the larger and more financially stable non-profits to lower or offset the amount paid by the two organizati</w:t>
      </w:r>
      <w:r w:rsidR="0077424C">
        <w:rPr>
          <w:rFonts w:ascii="Times New Roman" w:hAnsi="Times New Roman"/>
        </w:rPr>
        <w:t xml:space="preserve">ons.  Pursuant to request # 2, </w:t>
      </w:r>
      <w:r w:rsidR="0044520A">
        <w:rPr>
          <w:rFonts w:ascii="Times New Roman" w:hAnsi="Times New Roman"/>
        </w:rPr>
        <w:t>the Greenwood Genetic Center Board has agreed to contribute $3,000 per year for 5 year for a total of $15,000 to the City.</w:t>
      </w:r>
    </w:p>
    <w:p w:rsidR="0044520A" w:rsidRDefault="0044520A" w:rsidP="00687114">
      <w:pPr>
        <w:ind w:left="720"/>
        <w:rPr>
          <w:rFonts w:ascii="Times New Roman" w:hAnsi="Times New Roman"/>
        </w:rPr>
      </w:pPr>
    </w:p>
    <w:p w:rsidR="0044520A" w:rsidRDefault="0044520A" w:rsidP="00687114">
      <w:pPr>
        <w:ind w:left="720"/>
        <w:rPr>
          <w:rFonts w:ascii="Times New Roman" w:hAnsi="Times New Roman"/>
        </w:rPr>
      </w:pPr>
      <w:r>
        <w:rPr>
          <w:rFonts w:ascii="Times New Roman" w:hAnsi="Times New Roman"/>
        </w:rPr>
        <w:t>The City of Greenwood has proposed and CHC has accepted the following fee structure for the next five years.  Assuming every effected corporation is in agreement, individual letters of commitment will be signed and the Greenwood City Council will consider a</w:t>
      </w:r>
      <w:r w:rsidR="000F1F18">
        <w:rPr>
          <w:rFonts w:ascii="Times New Roman" w:hAnsi="Times New Roman"/>
        </w:rPr>
        <w:t xml:space="preserve"> vote to accept these agreements.  </w:t>
      </w:r>
      <w:r>
        <w:rPr>
          <w:rFonts w:ascii="Times New Roman" w:hAnsi="Times New Roman"/>
        </w:rPr>
        <w:t>There remains the possibility that the City Council will decline these agreements and pursue a city ordinance establishing a permanent non-profit business license tax structure, in which case the non-profits will need to evaluate the option of legal action.</w:t>
      </w:r>
    </w:p>
    <w:p w:rsidR="0044520A" w:rsidRDefault="0044520A" w:rsidP="00687114">
      <w:pPr>
        <w:ind w:left="720"/>
        <w:rPr>
          <w:rFonts w:ascii="Times New Roman" w:hAnsi="Times New Roman"/>
        </w:rPr>
      </w:pPr>
    </w:p>
    <w:tbl>
      <w:tblPr>
        <w:tblStyle w:val="TableGrid"/>
        <w:tblW w:w="0" w:type="auto"/>
        <w:tblInd w:w="720" w:type="dxa"/>
        <w:tblLook w:val="04A0" w:firstRow="1" w:lastRow="0" w:firstColumn="1" w:lastColumn="0" w:noHBand="0" w:noVBand="1"/>
      </w:tblPr>
      <w:tblGrid>
        <w:gridCol w:w="2898"/>
        <w:gridCol w:w="990"/>
        <w:gridCol w:w="990"/>
        <w:gridCol w:w="990"/>
        <w:gridCol w:w="990"/>
        <w:gridCol w:w="990"/>
        <w:gridCol w:w="1008"/>
      </w:tblGrid>
      <w:tr w:rsidR="000F1F18" w:rsidRPr="000F1F18" w:rsidTr="000F1F18">
        <w:tc>
          <w:tcPr>
            <w:tcW w:w="2898" w:type="dxa"/>
          </w:tcPr>
          <w:p w:rsidR="0044520A" w:rsidRPr="000F1F18" w:rsidRDefault="0044520A" w:rsidP="00687114">
            <w:pPr>
              <w:rPr>
                <w:rFonts w:ascii="Times New Roman" w:hAnsi="Times New Roman"/>
                <w:sz w:val="20"/>
                <w:szCs w:val="20"/>
              </w:rPr>
            </w:pPr>
          </w:p>
        </w:tc>
        <w:tc>
          <w:tcPr>
            <w:tcW w:w="990" w:type="dxa"/>
          </w:tcPr>
          <w:p w:rsidR="0044520A" w:rsidRPr="000F1F18" w:rsidRDefault="000F1F18" w:rsidP="000F1F18">
            <w:pPr>
              <w:jc w:val="center"/>
              <w:rPr>
                <w:rFonts w:ascii="Times New Roman" w:hAnsi="Times New Roman"/>
                <w:sz w:val="20"/>
                <w:szCs w:val="20"/>
              </w:rPr>
            </w:pPr>
            <w:r w:rsidRPr="000F1F18">
              <w:rPr>
                <w:rFonts w:ascii="Times New Roman" w:hAnsi="Times New Roman"/>
                <w:sz w:val="20"/>
                <w:szCs w:val="20"/>
              </w:rPr>
              <w:t>2017</w:t>
            </w:r>
          </w:p>
        </w:tc>
        <w:tc>
          <w:tcPr>
            <w:tcW w:w="990" w:type="dxa"/>
          </w:tcPr>
          <w:p w:rsidR="0044520A" w:rsidRPr="000F1F18" w:rsidRDefault="000F1F18" w:rsidP="000F1F18">
            <w:pPr>
              <w:jc w:val="center"/>
              <w:rPr>
                <w:rFonts w:ascii="Times New Roman" w:hAnsi="Times New Roman"/>
                <w:sz w:val="20"/>
                <w:szCs w:val="20"/>
              </w:rPr>
            </w:pPr>
            <w:r w:rsidRPr="000F1F18">
              <w:rPr>
                <w:rFonts w:ascii="Times New Roman" w:hAnsi="Times New Roman"/>
                <w:sz w:val="20"/>
                <w:szCs w:val="20"/>
              </w:rPr>
              <w:t>2018</w:t>
            </w:r>
          </w:p>
        </w:tc>
        <w:tc>
          <w:tcPr>
            <w:tcW w:w="990" w:type="dxa"/>
          </w:tcPr>
          <w:p w:rsidR="0044520A" w:rsidRPr="000F1F18" w:rsidRDefault="000F1F18" w:rsidP="000F1F18">
            <w:pPr>
              <w:jc w:val="center"/>
              <w:rPr>
                <w:rFonts w:ascii="Times New Roman" w:hAnsi="Times New Roman"/>
                <w:sz w:val="20"/>
                <w:szCs w:val="20"/>
              </w:rPr>
            </w:pPr>
            <w:r w:rsidRPr="000F1F18">
              <w:rPr>
                <w:rFonts w:ascii="Times New Roman" w:hAnsi="Times New Roman"/>
                <w:sz w:val="20"/>
                <w:szCs w:val="20"/>
              </w:rPr>
              <w:t>2019</w:t>
            </w:r>
          </w:p>
        </w:tc>
        <w:tc>
          <w:tcPr>
            <w:tcW w:w="990" w:type="dxa"/>
          </w:tcPr>
          <w:p w:rsidR="0044520A" w:rsidRPr="000F1F18" w:rsidRDefault="000F1F18" w:rsidP="000F1F18">
            <w:pPr>
              <w:jc w:val="center"/>
              <w:rPr>
                <w:rFonts w:ascii="Times New Roman" w:hAnsi="Times New Roman"/>
                <w:sz w:val="20"/>
                <w:szCs w:val="20"/>
              </w:rPr>
            </w:pPr>
            <w:r w:rsidRPr="000F1F18">
              <w:rPr>
                <w:rFonts w:ascii="Times New Roman" w:hAnsi="Times New Roman"/>
                <w:sz w:val="20"/>
                <w:szCs w:val="20"/>
              </w:rPr>
              <w:t>2020</w:t>
            </w:r>
          </w:p>
        </w:tc>
        <w:tc>
          <w:tcPr>
            <w:tcW w:w="990" w:type="dxa"/>
          </w:tcPr>
          <w:p w:rsidR="0044520A" w:rsidRPr="000F1F18" w:rsidRDefault="000F1F18" w:rsidP="000F1F18">
            <w:pPr>
              <w:jc w:val="center"/>
              <w:rPr>
                <w:rFonts w:ascii="Times New Roman" w:hAnsi="Times New Roman"/>
                <w:sz w:val="20"/>
                <w:szCs w:val="20"/>
              </w:rPr>
            </w:pPr>
            <w:r w:rsidRPr="000F1F18">
              <w:rPr>
                <w:rFonts w:ascii="Times New Roman" w:hAnsi="Times New Roman"/>
                <w:sz w:val="20"/>
                <w:szCs w:val="20"/>
              </w:rPr>
              <w:t>2021</w:t>
            </w:r>
          </w:p>
        </w:tc>
        <w:tc>
          <w:tcPr>
            <w:tcW w:w="1008" w:type="dxa"/>
          </w:tcPr>
          <w:p w:rsidR="0044520A" w:rsidRPr="000F1F18" w:rsidRDefault="000F1F18" w:rsidP="000F1F18">
            <w:pPr>
              <w:jc w:val="center"/>
              <w:rPr>
                <w:rFonts w:ascii="Times New Roman" w:hAnsi="Times New Roman"/>
                <w:sz w:val="20"/>
                <w:szCs w:val="20"/>
              </w:rPr>
            </w:pPr>
            <w:r w:rsidRPr="000F1F18">
              <w:rPr>
                <w:rFonts w:ascii="Times New Roman" w:hAnsi="Times New Roman"/>
                <w:sz w:val="20"/>
                <w:szCs w:val="20"/>
              </w:rPr>
              <w:t>Entity Total</w:t>
            </w:r>
          </w:p>
        </w:tc>
      </w:tr>
      <w:tr w:rsidR="000F1F18" w:rsidRPr="000F1F18" w:rsidTr="000F1F18">
        <w:tc>
          <w:tcPr>
            <w:tcW w:w="2898" w:type="dxa"/>
          </w:tcPr>
          <w:p w:rsidR="0044520A" w:rsidRPr="000F1F18" w:rsidRDefault="000F1F18" w:rsidP="00687114">
            <w:pPr>
              <w:rPr>
                <w:rFonts w:ascii="Times New Roman" w:hAnsi="Times New Roman"/>
                <w:sz w:val="20"/>
                <w:szCs w:val="20"/>
              </w:rPr>
            </w:pPr>
            <w:r w:rsidRPr="000F1F18">
              <w:rPr>
                <w:rFonts w:ascii="Times New Roman" w:hAnsi="Times New Roman"/>
                <w:sz w:val="20"/>
                <w:szCs w:val="20"/>
              </w:rPr>
              <w:t>Self Regional</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175,000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175,000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175,000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175,000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175,000</w:t>
            </w:r>
          </w:p>
        </w:tc>
        <w:tc>
          <w:tcPr>
            <w:tcW w:w="1008"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875,000</w:t>
            </w:r>
          </w:p>
        </w:tc>
      </w:tr>
      <w:tr w:rsidR="000F1F18" w:rsidRPr="000F1F18" w:rsidTr="000F1F18">
        <w:tc>
          <w:tcPr>
            <w:tcW w:w="2898" w:type="dxa"/>
          </w:tcPr>
          <w:p w:rsidR="0044520A" w:rsidRPr="000F1F18" w:rsidRDefault="000F1F18" w:rsidP="00687114">
            <w:pPr>
              <w:rPr>
                <w:rFonts w:ascii="Times New Roman" w:hAnsi="Times New Roman"/>
                <w:sz w:val="20"/>
                <w:szCs w:val="20"/>
              </w:rPr>
            </w:pPr>
            <w:r w:rsidRPr="000F1F18">
              <w:rPr>
                <w:rFonts w:ascii="Times New Roman" w:hAnsi="Times New Roman"/>
                <w:sz w:val="20"/>
                <w:szCs w:val="20"/>
              </w:rPr>
              <w:t>Wesley Commons</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9,500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9,500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9,500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9,500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9,500</w:t>
            </w:r>
          </w:p>
        </w:tc>
        <w:tc>
          <w:tcPr>
            <w:tcW w:w="1008"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47,500</w:t>
            </w:r>
          </w:p>
        </w:tc>
      </w:tr>
      <w:tr w:rsidR="000F1F18" w:rsidRPr="000F1F18" w:rsidTr="000F1F18">
        <w:tc>
          <w:tcPr>
            <w:tcW w:w="2898" w:type="dxa"/>
          </w:tcPr>
          <w:p w:rsidR="0044520A" w:rsidRPr="000F1F18" w:rsidRDefault="000F1F18" w:rsidP="00687114">
            <w:pPr>
              <w:rPr>
                <w:rFonts w:ascii="Times New Roman" w:hAnsi="Times New Roman"/>
                <w:sz w:val="20"/>
                <w:szCs w:val="20"/>
              </w:rPr>
            </w:pPr>
            <w:r w:rsidRPr="000F1F18">
              <w:rPr>
                <w:rFonts w:ascii="Times New Roman" w:hAnsi="Times New Roman"/>
                <w:sz w:val="20"/>
                <w:szCs w:val="20"/>
              </w:rPr>
              <w:t>Carolina Health Centers</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9,500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9,500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9,500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9,500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9,500</w:t>
            </w:r>
          </w:p>
        </w:tc>
        <w:tc>
          <w:tcPr>
            <w:tcW w:w="1008"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47,500</w:t>
            </w:r>
          </w:p>
        </w:tc>
      </w:tr>
      <w:tr w:rsidR="000F1F18" w:rsidRPr="000F1F18" w:rsidTr="000F1F18">
        <w:tc>
          <w:tcPr>
            <w:tcW w:w="2898" w:type="dxa"/>
          </w:tcPr>
          <w:p w:rsidR="0044520A" w:rsidRPr="000F1F18" w:rsidRDefault="000F1F18" w:rsidP="00687114">
            <w:pPr>
              <w:rPr>
                <w:rFonts w:ascii="Times New Roman" w:hAnsi="Times New Roman"/>
                <w:sz w:val="20"/>
                <w:szCs w:val="20"/>
              </w:rPr>
            </w:pPr>
            <w:r w:rsidRPr="000F1F18">
              <w:rPr>
                <w:rFonts w:ascii="Times New Roman" w:hAnsi="Times New Roman"/>
                <w:sz w:val="20"/>
                <w:szCs w:val="20"/>
              </w:rPr>
              <w:t>GGC</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3,000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3,000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3,000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3,000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3,000</w:t>
            </w:r>
          </w:p>
        </w:tc>
        <w:tc>
          <w:tcPr>
            <w:tcW w:w="1008"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15,000</w:t>
            </w:r>
          </w:p>
        </w:tc>
      </w:tr>
      <w:tr w:rsidR="000F1F18" w:rsidRPr="000F1F18" w:rsidTr="000F1F18">
        <w:tc>
          <w:tcPr>
            <w:tcW w:w="2898" w:type="dxa"/>
          </w:tcPr>
          <w:p w:rsidR="0044520A" w:rsidRPr="000F1F18" w:rsidRDefault="0044520A" w:rsidP="00687114">
            <w:pPr>
              <w:rPr>
                <w:rFonts w:ascii="Times New Roman" w:hAnsi="Times New Roman"/>
                <w:sz w:val="20"/>
                <w:szCs w:val="20"/>
              </w:rPr>
            </w:pP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$197,000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$197,000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$197,000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$197,000</w:t>
            </w:r>
          </w:p>
        </w:tc>
        <w:tc>
          <w:tcPr>
            <w:tcW w:w="990"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$197,000</w:t>
            </w:r>
          </w:p>
        </w:tc>
        <w:tc>
          <w:tcPr>
            <w:tcW w:w="1008" w:type="dxa"/>
          </w:tcPr>
          <w:p w:rsidR="0044520A" w:rsidRPr="000F1F18" w:rsidRDefault="000F1F18" w:rsidP="000F1F18">
            <w:pPr>
              <w:jc w:val="right"/>
              <w:rPr>
                <w:rFonts w:ascii="Times New Roman" w:hAnsi="Times New Roman"/>
                <w:sz w:val="20"/>
                <w:szCs w:val="20"/>
              </w:rPr>
            </w:pPr>
            <w:r w:rsidRPr="000F1F18">
              <w:rPr>
                <w:rFonts w:ascii="Times New Roman" w:hAnsi="Times New Roman"/>
                <w:sz w:val="20"/>
                <w:szCs w:val="20"/>
              </w:rPr>
              <w:t>$985,000</w:t>
            </w:r>
          </w:p>
        </w:tc>
      </w:tr>
    </w:tbl>
    <w:p w:rsidR="0044520A" w:rsidRDefault="0044520A" w:rsidP="00687114">
      <w:pPr>
        <w:ind w:left="720"/>
        <w:rPr>
          <w:rFonts w:ascii="Times New Roman" w:hAnsi="Times New Roman"/>
        </w:rPr>
      </w:pPr>
    </w:p>
    <w:p w:rsidR="000F1F18" w:rsidRDefault="000F1F18" w:rsidP="00687114">
      <w:pPr>
        <w:ind w:left="720"/>
        <w:rPr>
          <w:rFonts w:ascii="Times New Roman" w:hAnsi="Times New Roman"/>
        </w:rPr>
      </w:pPr>
      <w:r>
        <w:rPr>
          <w:rFonts w:ascii="Times New Roman" w:hAnsi="Times New Roman"/>
        </w:rPr>
        <w:t>Assuming everyone is in agreement, each entity would need to sign an individual letter of commitment (same wording as 2011 letter) and that the City Council consider a vote to accept the agreements at their meeting on November 21</w:t>
      </w:r>
      <w:r w:rsidRPr="000F1F18">
        <w:rPr>
          <w:rFonts w:ascii="Times New Roman" w:hAnsi="Times New Roman"/>
          <w:vertAlign w:val="superscript"/>
        </w:rPr>
        <w:t>st</w:t>
      </w:r>
      <w:r>
        <w:rPr>
          <w:rFonts w:ascii="Times New Roman" w:hAnsi="Times New Roman"/>
        </w:rPr>
        <w:t>.</w:t>
      </w:r>
    </w:p>
    <w:p w:rsidR="000F1F18" w:rsidRDefault="000F1F18" w:rsidP="00687114">
      <w:pPr>
        <w:ind w:left="720"/>
        <w:rPr>
          <w:rFonts w:ascii="Times New Roman" w:hAnsi="Times New Roman"/>
        </w:rPr>
      </w:pPr>
    </w:p>
    <w:p w:rsidR="000F1F18" w:rsidRPr="00687114" w:rsidRDefault="000F1F18" w:rsidP="00687114">
      <w:pPr>
        <w:ind w:left="720"/>
        <w:rPr>
          <w:rFonts w:ascii="Times New Roman" w:hAnsi="Times New Roman"/>
        </w:rPr>
      </w:pPr>
      <w:r>
        <w:rPr>
          <w:rFonts w:ascii="Times New Roman" w:hAnsi="Times New Roman"/>
        </w:rPr>
        <w:t xml:space="preserve">Sue Veer </w:t>
      </w:r>
      <w:r w:rsidR="0077424C">
        <w:rPr>
          <w:rFonts w:ascii="Times New Roman" w:hAnsi="Times New Roman"/>
        </w:rPr>
        <w:t xml:space="preserve">noted that she has tentatively agreed with the proposal and given that it is well within the parameters of her spending authority, no Board action is required.  Ms. Veer </w:t>
      </w:r>
      <w:r>
        <w:rPr>
          <w:rFonts w:ascii="Times New Roman" w:hAnsi="Times New Roman"/>
        </w:rPr>
        <w:t>wi</w:t>
      </w:r>
      <w:r w:rsidR="00C122D7">
        <w:rPr>
          <w:rFonts w:ascii="Times New Roman" w:hAnsi="Times New Roman"/>
        </w:rPr>
        <w:t xml:space="preserve">ll keep the board informed </w:t>
      </w:r>
      <w:r w:rsidR="0077424C">
        <w:rPr>
          <w:rFonts w:ascii="Times New Roman" w:hAnsi="Times New Roman"/>
        </w:rPr>
        <w:t>as City Council proceeds with this issue.</w:t>
      </w:r>
      <w:r w:rsidR="00C122D7">
        <w:rPr>
          <w:rFonts w:ascii="Times New Roman" w:hAnsi="Times New Roman"/>
        </w:rPr>
        <w:t>.</w:t>
      </w:r>
    </w:p>
    <w:p w:rsidR="00D01995" w:rsidRDefault="00D01995" w:rsidP="00253C94">
      <w:pPr>
        <w:rPr>
          <w:rFonts w:ascii="Times New Roman" w:hAnsi="Times New Roman"/>
          <w:u w:val="single"/>
        </w:rPr>
      </w:pPr>
    </w:p>
    <w:p w:rsidR="00253C94" w:rsidRDefault="00253C94" w:rsidP="00253C94">
      <w:pPr>
        <w:rPr>
          <w:rFonts w:ascii="Times New Roman" w:hAnsi="Times New Roman"/>
          <w:b/>
          <w:u w:val="single"/>
        </w:rPr>
      </w:pPr>
      <w:r w:rsidRPr="00253C94">
        <w:rPr>
          <w:rFonts w:ascii="Times New Roman" w:hAnsi="Times New Roman"/>
          <w:b/>
          <w:u w:val="single"/>
        </w:rPr>
        <w:t>Committee Reports</w:t>
      </w:r>
    </w:p>
    <w:p w:rsidR="00253C94" w:rsidRDefault="00253C94" w:rsidP="00253C94">
      <w:pPr>
        <w:rPr>
          <w:rFonts w:ascii="Times New Roman" w:hAnsi="Times New Roman"/>
          <w:b/>
          <w:u w:val="single"/>
        </w:rPr>
      </w:pPr>
    </w:p>
    <w:p w:rsidR="00253C94" w:rsidRPr="00253C94" w:rsidRDefault="00253C94" w:rsidP="00253C94">
      <w:pPr>
        <w:rPr>
          <w:rFonts w:ascii="Times New Roman" w:hAnsi="Times New Roman"/>
          <w:u w:val="single"/>
        </w:rPr>
      </w:pPr>
      <w:r w:rsidRPr="00253C94">
        <w:rPr>
          <w:rFonts w:ascii="Times New Roman" w:hAnsi="Times New Roman"/>
          <w:u w:val="single"/>
        </w:rPr>
        <w:t>Executive Committee</w:t>
      </w:r>
      <w:r>
        <w:rPr>
          <w:rFonts w:ascii="Times New Roman" w:hAnsi="Times New Roman"/>
          <w:u w:val="single"/>
        </w:rPr>
        <w:t xml:space="preserve"> </w:t>
      </w:r>
      <w:r w:rsidRPr="00253C94">
        <w:rPr>
          <w:rFonts w:ascii="Times New Roman" w:hAnsi="Times New Roman"/>
        </w:rPr>
        <w:t>– No report</w:t>
      </w:r>
    </w:p>
    <w:p w:rsidR="00253C94" w:rsidRDefault="00253C94" w:rsidP="00253C94">
      <w:pPr>
        <w:rPr>
          <w:rFonts w:ascii="Times New Roman" w:hAnsi="Times New Roman"/>
          <w:b/>
          <w:u w:val="single"/>
        </w:rPr>
      </w:pPr>
    </w:p>
    <w:p w:rsidR="00253C94" w:rsidRDefault="00253C94" w:rsidP="00253C94">
      <w:pPr>
        <w:rPr>
          <w:rFonts w:ascii="Times New Roman" w:hAnsi="Times New Roman"/>
          <w:u w:val="single"/>
        </w:rPr>
      </w:pPr>
      <w:r w:rsidRPr="00253C94">
        <w:rPr>
          <w:rFonts w:ascii="Times New Roman" w:hAnsi="Times New Roman"/>
          <w:u w:val="single"/>
        </w:rPr>
        <w:lastRenderedPageBreak/>
        <w:t>Finance Committee</w:t>
      </w:r>
      <w:r w:rsidR="003F1332">
        <w:rPr>
          <w:rFonts w:ascii="Times New Roman" w:hAnsi="Times New Roman"/>
          <w:u w:val="single"/>
        </w:rPr>
        <w:t>-</w:t>
      </w:r>
    </w:p>
    <w:p w:rsidR="003F1332" w:rsidRPr="003F1332" w:rsidRDefault="003F1332" w:rsidP="00253C94">
      <w:pPr>
        <w:rPr>
          <w:rFonts w:ascii="Times New Roman" w:hAnsi="Times New Roman"/>
        </w:rPr>
      </w:pPr>
      <w:r>
        <w:rPr>
          <w:rFonts w:ascii="Times New Roman" w:hAnsi="Times New Roman"/>
        </w:rPr>
        <w:t xml:space="preserve">The Finance Committee is recommending an across the board end-of-year bonus for staff and providers in the amount of $400. </w:t>
      </w:r>
      <w:r w:rsidR="00A53272">
        <w:rPr>
          <w:rFonts w:ascii="Times New Roman" w:hAnsi="Times New Roman"/>
        </w:rPr>
        <w:t>This r</w:t>
      </w:r>
      <w:r w:rsidR="00A56608">
        <w:rPr>
          <w:rFonts w:ascii="Times New Roman" w:hAnsi="Times New Roman"/>
        </w:rPr>
        <w:t>ecommendation</w:t>
      </w:r>
      <w:r w:rsidR="0077424C">
        <w:rPr>
          <w:rFonts w:ascii="Times New Roman" w:hAnsi="Times New Roman"/>
        </w:rPr>
        <w:t xml:space="preserve"> was unanimously approved with a second from Mr. Luna.</w:t>
      </w:r>
    </w:p>
    <w:p w:rsidR="00D01995" w:rsidRDefault="00D01995" w:rsidP="00253C94">
      <w:pPr>
        <w:rPr>
          <w:rFonts w:ascii="Times New Roman" w:hAnsi="Times New Roman"/>
          <w:u w:val="single"/>
        </w:rPr>
      </w:pPr>
    </w:p>
    <w:p w:rsidR="00253C94" w:rsidRDefault="00253C94" w:rsidP="00253C94">
      <w:pPr>
        <w:rPr>
          <w:rFonts w:ascii="Times New Roman" w:hAnsi="Times New Roman"/>
        </w:rPr>
      </w:pPr>
      <w:r>
        <w:rPr>
          <w:rFonts w:ascii="Times New Roman" w:hAnsi="Times New Roman"/>
          <w:u w:val="single"/>
        </w:rPr>
        <w:t xml:space="preserve">Personnel Committee </w:t>
      </w:r>
      <w:r w:rsidRPr="00253C94">
        <w:rPr>
          <w:rFonts w:ascii="Times New Roman" w:hAnsi="Times New Roman"/>
        </w:rPr>
        <w:t>– No report</w:t>
      </w:r>
    </w:p>
    <w:p w:rsidR="00253C94" w:rsidRDefault="00253C94" w:rsidP="00253C94">
      <w:pPr>
        <w:rPr>
          <w:rFonts w:ascii="Times New Roman" w:hAnsi="Times New Roman"/>
        </w:rPr>
      </w:pPr>
    </w:p>
    <w:p w:rsidR="00253C94" w:rsidRDefault="00253C94" w:rsidP="00253C94">
      <w:pPr>
        <w:rPr>
          <w:rFonts w:ascii="Times New Roman" w:hAnsi="Times New Roman"/>
          <w:b/>
          <w:u w:val="single"/>
        </w:rPr>
      </w:pPr>
      <w:r>
        <w:rPr>
          <w:rFonts w:ascii="Times New Roman" w:hAnsi="Times New Roman"/>
          <w:b/>
          <w:u w:val="single"/>
        </w:rPr>
        <w:t>Discussion/Action Items:</w:t>
      </w:r>
    </w:p>
    <w:p w:rsidR="00253C94" w:rsidRDefault="00253C94" w:rsidP="00253C94">
      <w:pPr>
        <w:rPr>
          <w:rFonts w:ascii="Times New Roman" w:hAnsi="Times New Roman"/>
          <w:u w:val="single"/>
        </w:rPr>
      </w:pPr>
    </w:p>
    <w:p w:rsidR="00253C94" w:rsidRDefault="00253C94" w:rsidP="00253C94">
      <w:pPr>
        <w:rPr>
          <w:rFonts w:ascii="Times New Roman" w:hAnsi="Times New Roman"/>
          <w:u w:val="single"/>
        </w:rPr>
      </w:pPr>
      <w:r>
        <w:rPr>
          <w:rFonts w:ascii="Times New Roman" w:hAnsi="Times New Roman"/>
          <w:u w:val="single"/>
        </w:rPr>
        <w:t>Standing Agenda Items</w:t>
      </w:r>
    </w:p>
    <w:p w:rsidR="00253C94" w:rsidRPr="00E325F5" w:rsidRDefault="00B33477" w:rsidP="00253C94">
      <w:pPr>
        <w:pStyle w:val="ListParagraph"/>
        <w:numPr>
          <w:ilvl w:val="0"/>
          <w:numId w:val="1"/>
        </w:numPr>
        <w:rPr>
          <w:rFonts w:ascii="Times New Roman" w:hAnsi="Times New Roman"/>
          <w:u w:val="single"/>
        </w:rPr>
      </w:pPr>
      <w:r>
        <w:rPr>
          <w:rFonts w:ascii="Times New Roman" w:hAnsi="Times New Roman"/>
          <w:u w:val="single"/>
        </w:rPr>
        <w:t xml:space="preserve">Corporate Policies and Procedures Review </w:t>
      </w:r>
    </w:p>
    <w:p w:rsidR="00E325F5" w:rsidRPr="00E325F5" w:rsidRDefault="00E325F5" w:rsidP="00E325F5">
      <w:pPr>
        <w:pStyle w:val="ListParagraph"/>
        <w:numPr>
          <w:ilvl w:val="0"/>
          <w:numId w:val="4"/>
        </w:numPr>
        <w:rPr>
          <w:rFonts w:ascii="Times New Roman" w:hAnsi="Times New Roman"/>
          <w:u w:val="single"/>
        </w:rPr>
      </w:pPr>
      <w:r>
        <w:rPr>
          <w:rFonts w:ascii="Times New Roman" w:hAnsi="Times New Roman"/>
        </w:rPr>
        <w:t xml:space="preserve">There was a modification to the Compensation Policy to clarify the policy by adding the sentence “The incentive will be reduced by 50% for qualifying part-time (excluding PRN) employees.”  This was approved on a motion by Ridgely/Luna. </w:t>
      </w:r>
    </w:p>
    <w:p w:rsidR="00E325F5" w:rsidRPr="00A56608" w:rsidRDefault="00E325F5" w:rsidP="00E325F5">
      <w:pPr>
        <w:pStyle w:val="ListParagraph"/>
        <w:numPr>
          <w:ilvl w:val="0"/>
          <w:numId w:val="4"/>
        </w:numPr>
        <w:rPr>
          <w:rFonts w:ascii="Times New Roman" w:hAnsi="Times New Roman"/>
          <w:u w:val="single"/>
        </w:rPr>
      </w:pPr>
      <w:r>
        <w:rPr>
          <w:rFonts w:ascii="Times New Roman" w:hAnsi="Times New Roman"/>
        </w:rPr>
        <w:t>As information only it was</w:t>
      </w:r>
      <w:r w:rsidR="00C122D7">
        <w:rPr>
          <w:rFonts w:ascii="Times New Roman" w:hAnsi="Times New Roman"/>
        </w:rPr>
        <w:t xml:space="preserve"> noted that i</w:t>
      </w:r>
      <w:r>
        <w:rPr>
          <w:rFonts w:ascii="Times New Roman" w:hAnsi="Times New Roman"/>
        </w:rPr>
        <w:t>n the Employee Leave Policy the word premium</w:t>
      </w:r>
      <w:r w:rsidR="00A56608">
        <w:rPr>
          <w:rFonts w:ascii="Times New Roman" w:hAnsi="Times New Roman"/>
        </w:rPr>
        <w:t xml:space="preserve"> was inadvertently left in the policy and </w:t>
      </w:r>
      <w:r w:rsidR="00C122D7">
        <w:rPr>
          <w:rFonts w:ascii="Times New Roman" w:hAnsi="Times New Roman"/>
        </w:rPr>
        <w:t>it needs</w:t>
      </w:r>
      <w:r>
        <w:rPr>
          <w:rFonts w:ascii="Times New Roman" w:hAnsi="Times New Roman"/>
        </w:rPr>
        <w:t xml:space="preserve"> to be </w:t>
      </w:r>
      <w:r w:rsidR="00A56608">
        <w:rPr>
          <w:rFonts w:ascii="Times New Roman" w:hAnsi="Times New Roman"/>
        </w:rPr>
        <w:t>omitted.</w:t>
      </w:r>
    </w:p>
    <w:p w:rsidR="00B33477" w:rsidRPr="0077424C" w:rsidRDefault="00A56608" w:rsidP="00B33477">
      <w:pPr>
        <w:pStyle w:val="ListParagraph"/>
        <w:numPr>
          <w:ilvl w:val="0"/>
          <w:numId w:val="4"/>
        </w:numPr>
        <w:rPr>
          <w:rFonts w:ascii="Times New Roman" w:hAnsi="Times New Roman"/>
          <w:u w:val="single"/>
        </w:rPr>
      </w:pPr>
      <w:r w:rsidRPr="0077424C">
        <w:rPr>
          <w:rFonts w:ascii="Times New Roman" w:hAnsi="Times New Roman"/>
        </w:rPr>
        <w:t xml:space="preserve">There was a question of which policies the board wanted to see published on the board portal.  </w:t>
      </w:r>
      <w:r w:rsidR="00C122D7" w:rsidRPr="0077424C">
        <w:rPr>
          <w:rFonts w:ascii="Times New Roman" w:hAnsi="Times New Roman"/>
        </w:rPr>
        <w:t>After discussion</w:t>
      </w:r>
      <w:r w:rsidR="0077424C" w:rsidRPr="0077424C">
        <w:rPr>
          <w:rFonts w:ascii="Times New Roman" w:hAnsi="Times New Roman"/>
        </w:rPr>
        <w:t xml:space="preserve"> there was consensus that only certain corporate policies rather than departmental operations policies need to be available to the Board through the portal.</w:t>
      </w:r>
      <w:r w:rsidR="00C122D7" w:rsidRPr="0077424C">
        <w:rPr>
          <w:rFonts w:ascii="Times New Roman" w:hAnsi="Times New Roman"/>
        </w:rPr>
        <w:t xml:space="preserve"> </w:t>
      </w:r>
      <w:r w:rsidR="0077424C" w:rsidRPr="0077424C">
        <w:rPr>
          <w:rFonts w:ascii="Times New Roman" w:hAnsi="Times New Roman"/>
        </w:rPr>
        <w:t xml:space="preserve">There was agreement that </w:t>
      </w:r>
      <w:r w:rsidR="00C122D7" w:rsidRPr="0077424C">
        <w:rPr>
          <w:rFonts w:ascii="Times New Roman" w:hAnsi="Times New Roman"/>
        </w:rPr>
        <w:t>Sue Vee</w:t>
      </w:r>
      <w:r w:rsidR="00265C24" w:rsidRPr="0077424C">
        <w:rPr>
          <w:rFonts w:ascii="Times New Roman" w:hAnsi="Times New Roman"/>
        </w:rPr>
        <w:t>r will be making a list of the</w:t>
      </w:r>
      <w:r w:rsidR="00C122D7" w:rsidRPr="0077424C">
        <w:rPr>
          <w:rFonts w:ascii="Times New Roman" w:hAnsi="Times New Roman"/>
        </w:rPr>
        <w:t xml:space="preserve"> </w:t>
      </w:r>
      <w:r w:rsidR="0077424C" w:rsidRPr="0077424C">
        <w:rPr>
          <w:rFonts w:ascii="Times New Roman" w:hAnsi="Times New Roman"/>
        </w:rPr>
        <w:t xml:space="preserve">suggested policies for publication on the portal and the Board will decide which they are interested in having ongoing access to. </w:t>
      </w:r>
    </w:p>
    <w:p w:rsidR="0077424C" w:rsidRPr="0077424C" w:rsidRDefault="0077424C" w:rsidP="0077424C">
      <w:pPr>
        <w:pStyle w:val="ListParagraph"/>
        <w:ind w:left="1440"/>
        <w:rPr>
          <w:rFonts w:ascii="Times New Roman" w:hAnsi="Times New Roman"/>
          <w:u w:val="single"/>
        </w:rPr>
      </w:pPr>
    </w:p>
    <w:p w:rsidR="00B33477" w:rsidRDefault="00B33477" w:rsidP="00B33477">
      <w:pPr>
        <w:rPr>
          <w:rFonts w:ascii="Times New Roman" w:hAnsi="Times New Roman"/>
          <w:u w:val="single"/>
        </w:rPr>
      </w:pPr>
      <w:r>
        <w:rPr>
          <w:rFonts w:ascii="Times New Roman" w:hAnsi="Times New Roman"/>
          <w:u w:val="single"/>
        </w:rPr>
        <w:t>Old Business</w:t>
      </w:r>
    </w:p>
    <w:p w:rsidR="00D01995" w:rsidRDefault="00C122D7" w:rsidP="00B33477">
      <w:pPr>
        <w:rPr>
          <w:rFonts w:ascii="Times New Roman" w:hAnsi="Times New Roman"/>
        </w:rPr>
      </w:pPr>
      <w:r w:rsidRPr="00C122D7">
        <w:rPr>
          <w:rFonts w:ascii="Times New Roman" w:hAnsi="Times New Roman"/>
        </w:rPr>
        <w:t xml:space="preserve">There was no old business </w:t>
      </w:r>
      <w:r w:rsidR="00D758E0">
        <w:rPr>
          <w:rFonts w:ascii="Times New Roman" w:hAnsi="Times New Roman"/>
        </w:rPr>
        <w:t>to bring</w:t>
      </w:r>
      <w:r w:rsidRPr="00C122D7">
        <w:rPr>
          <w:rFonts w:ascii="Times New Roman" w:hAnsi="Times New Roman"/>
        </w:rPr>
        <w:t xml:space="preserve"> before the board</w:t>
      </w:r>
      <w:r>
        <w:rPr>
          <w:rFonts w:ascii="Times New Roman" w:hAnsi="Times New Roman"/>
        </w:rPr>
        <w:t>.</w:t>
      </w:r>
    </w:p>
    <w:p w:rsidR="00C122D7" w:rsidRDefault="00C122D7" w:rsidP="00B33477">
      <w:pPr>
        <w:rPr>
          <w:rFonts w:ascii="Times New Roman" w:hAnsi="Times New Roman"/>
        </w:rPr>
      </w:pPr>
    </w:p>
    <w:p w:rsidR="00B33477" w:rsidRDefault="00B33477" w:rsidP="00B33477">
      <w:pPr>
        <w:rPr>
          <w:rFonts w:ascii="Times New Roman" w:hAnsi="Times New Roman"/>
          <w:u w:val="single"/>
        </w:rPr>
      </w:pPr>
      <w:r>
        <w:rPr>
          <w:rFonts w:ascii="Times New Roman" w:hAnsi="Times New Roman"/>
          <w:u w:val="single"/>
        </w:rPr>
        <w:t>New Business</w:t>
      </w:r>
    </w:p>
    <w:p w:rsidR="00B33477" w:rsidRPr="00C122D7" w:rsidRDefault="00C122D7" w:rsidP="00B33477">
      <w:pPr>
        <w:rPr>
          <w:rFonts w:ascii="Times New Roman" w:hAnsi="Times New Roman"/>
        </w:rPr>
      </w:pPr>
      <w:r w:rsidRPr="00C122D7">
        <w:rPr>
          <w:rFonts w:ascii="Times New Roman" w:hAnsi="Times New Roman"/>
        </w:rPr>
        <w:t>There was no new business to bring before the board.</w:t>
      </w:r>
    </w:p>
    <w:p w:rsidR="00D01995" w:rsidRPr="00C122D7" w:rsidRDefault="00D01995" w:rsidP="00B33477">
      <w:pPr>
        <w:rPr>
          <w:rFonts w:ascii="Times New Roman" w:hAnsi="Times New Roman"/>
        </w:rPr>
      </w:pPr>
    </w:p>
    <w:p w:rsidR="00B33477" w:rsidRPr="0077424C" w:rsidRDefault="0077424C" w:rsidP="00B33477">
      <w:pPr>
        <w:rPr>
          <w:rFonts w:ascii="Times New Roman" w:hAnsi="Times New Roman"/>
          <w:u w:val="single"/>
        </w:rPr>
      </w:pPr>
      <w:r>
        <w:rPr>
          <w:rFonts w:ascii="Times New Roman" w:hAnsi="Times New Roman"/>
          <w:u w:val="single"/>
        </w:rPr>
        <w:t xml:space="preserve">Closed </w:t>
      </w:r>
      <w:r w:rsidR="00B33477" w:rsidRPr="0077424C">
        <w:rPr>
          <w:rFonts w:ascii="Times New Roman" w:hAnsi="Times New Roman"/>
          <w:u w:val="single"/>
        </w:rPr>
        <w:t>Session – Complete CEO Performance Review</w:t>
      </w:r>
    </w:p>
    <w:p w:rsidR="00B33477" w:rsidRPr="00D758E0" w:rsidRDefault="00D758E0" w:rsidP="00B33477">
      <w:pPr>
        <w:rPr>
          <w:rFonts w:ascii="Times New Roman" w:hAnsi="Times New Roman"/>
        </w:rPr>
      </w:pPr>
      <w:r w:rsidRPr="00D758E0">
        <w:rPr>
          <w:rFonts w:ascii="Times New Roman" w:hAnsi="Times New Roman"/>
        </w:rPr>
        <w:t>The</w:t>
      </w:r>
      <w:r w:rsidR="0077424C">
        <w:rPr>
          <w:rFonts w:ascii="Times New Roman" w:hAnsi="Times New Roman"/>
        </w:rPr>
        <w:t xml:space="preserve"> Board did not officially go into Executive Session; however, Mr. Britt excused the</w:t>
      </w:r>
      <w:r w:rsidRPr="00D758E0">
        <w:rPr>
          <w:rFonts w:ascii="Times New Roman" w:hAnsi="Times New Roman"/>
        </w:rPr>
        <w:t xml:space="preserve"> staff </w:t>
      </w:r>
      <w:r w:rsidR="0077424C">
        <w:rPr>
          <w:rFonts w:ascii="Times New Roman" w:hAnsi="Times New Roman"/>
        </w:rPr>
        <w:t xml:space="preserve">for a closed session with the CEO.  During this session the final copy of the CEO’s Annual Performance Review was provided.  In addition, the CEO provided to the Board a list of proposed CEO goals for the current contract year.  Mr. Britt asked that the Board members provide him with input on the proposed goals within the next two weeks.  </w:t>
      </w:r>
    </w:p>
    <w:p w:rsidR="00D01995" w:rsidRPr="00D758E0" w:rsidRDefault="00D01995" w:rsidP="00B33477">
      <w:pPr>
        <w:rPr>
          <w:rFonts w:ascii="Times New Roman" w:hAnsi="Times New Roman"/>
        </w:rPr>
      </w:pPr>
    </w:p>
    <w:p w:rsidR="00B33477" w:rsidRDefault="00B33477" w:rsidP="00B33477">
      <w:pPr>
        <w:rPr>
          <w:rFonts w:ascii="Times New Roman" w:hAnsi="Times New Roman"/>
        </w:rPr>
      </w:pPr>
      <w:r w:rsidRPr="00B33477">
        <w:rPr>
          <w:rFonts w:ascii="Times New Roman" w:hAnsi="Times New Roman"/>
        </w:rPr>
        <w:t>The next meeting will be November 28</w:t>
      </w:r>
      <w:r w:rsidRPr="00B33477">
        <w:rPr>
          <w:rFonts w:ascii="Times New Roman" w:hAnsi="Times New Roman"/>
          <w:vertAlign w:val="superscript"/>
        </w:rPr>
        <w:t>th</w:t>
      </w:r>
      <w:r w:rsidRPr="00B33477">
        <w:rPr>
          <w:rFonts w:ascii="Times New Roman" w:hAnsi="Times New Roman"/>
        </w:rPr>
        <w:t>, 29</w:t>
      </w:r>
      <w:r w:rsidRPr="00B33477">
        <w:rPr>
          <w:rFonts w:ascii="Times New Roman" w:hAnsi="Times New Roman"/>
          <w:vertAlign w:val="superscript"/>
        </w:rPr>
        <w:t>th</w:t>
      </w:r>
      <w:r w:rsidRPr="00B33477">
        <w:rPr>
          <w:rFonts w:ascii="Times New Roman" w:hAnsi="Times New Roman"/>
        </w:rPr>
        <w:t xml:space="preserve"> or 30</w:t>
      </w:r>
      <w:r w:rsidRPr="00B33477">
        <w:rPr>
          <w:rFonts w:ascii="Times New Roman" w:hAnsi="Times New Roman"/>
          <w:vertAlign w:val="superscript"/>
        </w:rPr>
        <w:t>th</w:t>
      </w:r>
      <w:r w:rsidRPr="00B33477">
        <w:rPr>
          <w:rFonts w:ascii="Times New Roman" w:hAnsi="Times New Roman"/>
        </w:rPr>
        <w:t xml:space="preserve"> to be determined by HRSA OSV Team.</w:t>
      </w:r>
      <w:r w:rsidR="0077424C">
        <w:rPr>
          <w:rFonts w:ascii="Times New Roman" w:hAnsi="Times New Roman"/>
        </w:rPr>
        <w:t xml:space="preserve"> </w:t>
      </w:r>
    </w:p>
    <w:p w:rsidR="0077424C" w:rsidRDefault="0077424C" w:rsidP="00B33477">
      <w:pPr>
        <w:rPr>
          <w:rFonts w:ascii="Times New Roman" w:hAnsi="Times New Roman"/>
        </w:rPr>
      </w:pPr>
      <w:r>
        <w:rPr>
          <w:rFonts w:ascii="Times New Roman" w:hAnsi="Times New Roman"/>
        </w:rPr>
        <w:t>NOTE:  Since the October meeting it has been determined in consultation with CHC’s HRSA Project Officer that the November meeting will be held on Tuesday, November 29, 2016 with a start time of 5:15PM.</w:t>
      </w:r>
    </w:p>
    <w:p w:rsidR="00B33477" w:rsidRDefault="00B33477" w:rsidP="00B33477">
      <w:pPr>
        <w:rPr>
          <w:rFonts w:ascii="Times New Roman" w:hAnsi="Times New Roman"/>
        </w:rPr>
      </w:pPr>
    </w:p>
    <w:p w:rsidR="00B33477" w:rsidRPr="00B33477" w:rsidRDefault="00B33477" w:rsidP="00B33477">
      <w:pPr>
        <w:rPr>
          <w:rFonts w:ascii="Times New Roman" w:hAnsi="Times New Roman"/>
        </w:rPr>
      </w:pPr>
      <w:r>
        <w:rPr>
          <w:rFonts w:ascii="Times New Roman" w:hAnsi="Times New Roman"/>
        </w:rPr>
        <w:t>The meeting was adjourned on a motion by</w:t>
      </w:r>
      <w:r w:rsidR="0077424C">
        <w:rPr>
          <w:rFonts w:ascii="Times New Roman" w:hAnsi="Times New Roman"/>
        </w:rPr>
        <w:t xml:space="preserve"> Andrews/Ridgely.</w:t>
      </w:r>
    </w:p>
    <w:p w:rsidR="00B33477" w:rsidRDefault="00B33477" w:rsidP="00B33477">
      <w:pPr>
        <w:rPr>
          <w:rFonts w:ascii="Times New Roman" w:hAnsi="Times New Roman"/>
          <w:u w:val="single"/>
        </w:rPr>
      </w:pPr>
    </w:p>
    <w:p w:rsidR="00B33477" w:rsidRPr="00B33477" w:rsidRDefault="00B33477" w:rsidP="00B33477">
      <w:pPr>
        <w:rPr>
          <w:rFonts w:ascii="Times New Roman" w:hAnsi="Times New Roman"/>
          <w:u w:val="single"/>
        </w:rPr>
      </w:pPr>
    </w:p>
    <w:p w:rsidR="00253C94" w:rsidRDefault="00253C94" w:rsidP="00253C94">
      <w:pPr>
        <w:rPr>
          <w:rFonts w:ascii="Times New Roman" w:hAnsi="Times New Roman"/>
          <w:u w:val="single"/>
        </w:rPr>
      </w:pPr>
    </w:p>
    <w:p w:rsidR="00253C94" w:rsidRPr="00253C94" w:rsidRDefault="00253C94" w:rsidP="00253C94">
      <w:pPr>
        <w:rPr>
          <w:rFonts w:ascii="Times New Roman" w:hAnsi="Times New Roman"/>
          <w:u w:val="single"/>
        </w:rPr>
      </w:pPr>
    </w:p>
    <w:p w:rsidR="00253C94" w:rsidRDefault="00253C94" w:rsidP="00253C94">
      <w:pPr>
        <w:rPr>
          <w:rFonts w:ascii="Times New Roman" w:hAnsi="Times New Roman"/>
        </w:rPr>
      </w:pPr>
    </w:p>
    <w:p w:rsidR="00253C94" w:rsidRDefault="00253C94" w:rsidP="00253C94"/>
    <w:sectPr w:rsidR="00253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D3B"/>
    <w:multiLevelType w:val="hybridMultilevel"/>
    <w:tmpl w:val="B596BC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AFF3B09"/>
    <w:multiLevelType w:val="hybridMultilevel"/>
    <w:tmpl w:val="F104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37098"/>
    <w:multiLevelType w:val="hybridMultilevel"/>
    <w:tmpl w:val="4CFA7B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B25350"/>
    <w:multiLevelType w:val="hybridMultilevel"/>
    <w:tmpl w:val="E5F6D60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30EF7C83"/>
    <w:multiLevelType w:val="hybridMultilevel"/>
    <w:tmpl w:val="E68870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34B70D2"/>
    <w:multiLevelType w:val="hybridMultilevel"/>
    <w:tmpl w:val="F850B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266A6A"/>
    <w:multiLevelType w:val="hybridMultilevel"/>
    <w:tmpl w:val="7FB4C2D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7F5ED5"/>
    <w:multiLevelType w:val="hybridMultilevel"/>
    <w:tmpl w:val="9E84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0317E"/>
    <w:multiLevelType w:val="hybridMultilevel"/>
    <w:tmpl w:val="D51AD3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3054762"/>
    <w:multiLevelType w:val="hybridMultilevel"/>
    <w:tmpl w:val="305E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6E676D"/>
    <w:multiLevelType w:val="hybridMultilevel"/>
    <w:tmpl w:val="755CBE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2"/>
  </w:num>
  <w:num w:numId="6">
    <w:abstractNumId w:val="8"/>
  </w:num>
  <w:num w:numId="7">
    <w:abstractNumId w:val="10"/>
  </w:num>
  <w:num w:numId="8">
    <w:abstractNumId w:val="4"/>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94"/>
    <w:rsid w:val="000D496F"/>
    <w:rsid w:val="000F1F18"/>
    <w:rsid w:val="00216DCC"/>
    <w:rsid w:val="00253C94"/>
    <w:rsid w:val="00263F81"/>
    <w:rsid w:val="00265C24"/>
    <w:rsid w:val="003F1332"/>
    <w:rsid w:val="0044520A"/>
    <w:rsid w:val="00460F46"/>
    <w:rsid w:val="00477274"/>
    <w:rsid w:val="004C6473"/>
    <w:rsid w:val="00687114"/>
    <w:rsid w:val="006B46DD"/>
    <w:rsid w:val="00760A0B"/>
    <w:rsid w:val="0077424C"/>
    <w:rsid w:val="00977DA7"/>
    <w:rsid w:val="00A53272"/>
    <w:rsid w:val="00A56608"/>
    <w:rsid w:val="00A86859"/>
    <w:rsid w:val="00B33477"/>
    <w:rsid w:val="00BA7622"/>
    <w:rsid w:val="00C122D7"/>
    <w:rsid w:val="00D01995"/>
    <w:rsid w:val="00D758E0"/>
    <w:rsid w:val="00E21CD8"/>
    <w:rsid w:val="00E325F5"/>
    <w:rsid w:val="00EE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94"/>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94"/>
    <w:pPr>
      <w:ind w:left="720"/>
      <w:contextualSpacing/>
    </w:pPr>
  </w:style>
  <w:style w:type="table" w:styleId="TableGrid">
    <w:name w:val="Table Grid"/>
    <w:basedOn w:val="TableNormal"/>
    <w:uiPriority w:val="59"/>
    <w:rsid w:val="00445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94"/>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94"/>
    <w:pPr>
      <w:ind w:left="720"/>
      <w:contextualSpacing/>
    </w:pPr>
  </w:style>
  <w:style w:type="table" w:styleId="TableGrid">
    <w:name w:val="Table Grid"/>
    <w:basedOn w:val="TableNormal"/>
    <w:uiPriority w:val="59"/>
    <w:rsid w:val="00445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Holmes</dc:creator>
  <cp:lastModifiedBy>LuAnn Holmes</cp:lastModifiedBy>
  <cp:revision>2</cp:revision>
  <cp:lastPrinted>2016-10-24T18:31:00Z</cp:lastPrinted>
  <dcterms:created xsi:type="dcterms:W3CDTF">2016-10-27T14:25:00Z</dcterms:created>
  <dcterms:modified xsi:type="dcterms:W3CDTF">2016-10-27T14:25:00Z</dcterms:modified>
</cp:coreProperties>
</file>